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0A" w:rsidRPr="00EA28E6" w:rsidRDefault="00EF0342">
      <w:r>
        <w:t>Faible</w:t>
      </w:r>
      <w:r w:rsidR="00F16DBD">
        <w:t xml:space="preserve"> </w:t>
      </w:r>
      <w:r>
        <w:t>risque de cancer embryonnaire dans le spectre hypertrophique lié</w:t>
      </w:r>
      <w:r w:rsidR="00F16DBD">
        <w:t xml:space="preserve"> aux mutations </w:t>
      </w:r>
      <w:r w:rsidR="00F16DBD" w:rsidRPr="00F16DBD">
        <w:rPr>
          <w:i/>
        </w:rPr>
        <w:t>PIK3CA</w:t>
      </w:r>
      <w:r>
        <w:rPr>
          <w:i/>
        </w:rPr>
        <w:t xml:space="preserve"> </w:t>
      </w:r>
      <w:r w:rsidRPr="00EA28E6">
        <w:t>en mosaïque</w:t>
      </w:r>
      <w:r w:rsidR="000A40DF">
        <w:t xml:space="preserve"> : conséquence sur les recommandations de dépistage. </w:t>
      </w:r>
      <w:bookmarkStart w:id="0" w:name="_GoBack"/>
      <w:bookmarkEnd w:id="0"/>
    </w:p>
    <w:p w:rsidR="00F16DBD" w:rsidRPr="001C104E" w:rsidRDefault="001C104E" w:rsidP="004931DF">
      <w:pPr>
        <w:spacing w:line="480" w:lineRule="auto"/>
      </w:pPr>
      <w:r>
        <w:t>Auteu</w:t>
      </w:r>
      <w:r w:rsidR="004F120A">
        <w:t>rs : Crépin J-C., Carmign</w:t>
      </w:r>
      <w:r w:rsidR="00020C30">
        <w:t>ac V.,</w:t>
      </w:r>
      <w:r w:rsidR="00A31E4D">
        <w:t xml:space="preserve"> Abadie C.,</w:t>
      </w:r>
      <w:r w:rsidR="00020C30">
        <w:t xml:space="preserve"> Duffourd Y., Callier P., Philippe C., Thauvin C.,  Kuentz P., Rivière J-B., Faivre L., Vabres P.</w:t>
      </w:r>
      <w:r w:rsidR="004F120A">
        <w:t xml:space="preserve"> et les investigateurs de la cohorte M.U.S.T.A.R.D.</w:t>
      </w:r>
    </w:p>
    <w:p w:rsidR="00C1779A" w:rsidRDefault="00C1779A" w:rsidP="004E1C86">
      <w:pPr>
        <w:spacing w:line="480" w:lineRule="auto"/>
        <w:jc w:val="both"/>
      </w:pPr>
      <w:r w:rsidRPr="00C1779A">
        <w:rPr>
          <w:b/>
        </w:rPr>
        <w:t>Introduction :</w:t>
      </w:r>
      <w:r>
        <w:t xml:space="preserve"> </w:t>
      </w:r>
      <w:r w:rsidR="004931DF">
        <w:t>Le spec</w:t>
      </w:r>
      <w:r w:rsidR="00616C48">
        <w:t xml:space="preserve">tre des hypertrophies liées à </w:t>
      </w:r>
      <w:r w:rsidR="004931DF" w:rsidRPr="001B3927">
        <w:rPr>
          <w:i/>
        </w:rPr>
        <w:t>PIK3CA</w:t>
      </w:r>
      <w:r w:rsidR="004931DF" w:rsidRPr="001B3927">
        <w:t xml:space="preserve"> (</w:t>
      </w:r>
      <w:r w:rsidR="004931DF" w:rsidRPr="00717E09">
        <w:rPr>
          <w:i/>
        </w:rPr>
        <w:t>PIK3CA-Related Overgrowth Spectrum</w:t>
      </w:r>
      <w:r w:rsidR="004931DF">
        <w:t xml:space="preserve"> ou </w:t>
      </w:r>
      <w:r w:rsidR="004931DF" w:rsidRPr="00717E09">
        <w:rPr>
          <w:i/>
        </w:rPr>
        <w:t>PROS</w:t>
      </w:r>
      <w:r w:rsidR="004931DF" w:rsidRPr="001B3927">
        <w:t>)</w:t>
      </w:r>
      <w:r w:rsidR="004931DF">
        <w:t xml:space="preserve"> </w:t>
      </w:r>
      <w:r w:rsidR="00227969">
        <w:t>englobe les</w:t>
      </w:r>
      <w:r w:rsidR="004F120A">
        <w:t xml:space="preserve"> conséquences cliniques des</w:t>
      </w:r>
      <w:r w:rsidR="004931DF">
        <w:t xml:space="preserve"> mutation</w:t>
      </w:r>
      <w:r w:rsidR="004F120A">
        <w:t>s</w:t>
      </w:r>
      <w:r w:rsidR="004931DF">
        <w:t xml:space="preserve"> activatrice</w:t>
      </w:r>
      <w:r w:rsidR="004F120A">
        <w:t>s de</w:t>
      </w:r>
      <w:r w:rsidR="004931DF">
        <w:t xml:space="preserve"> </w:t>
      </w:r>
      <w:r w:rsidR="004931DF" w:rsidRPr="00C1779A">
        <w:rPr>
          <w:i/>
        </w:rPr>
        <w:t>PIK3CA</w:t>
      </w:r>
      <w:r w:rsidR="004931DF">
        <w:t xml:space="preserve"> en </w:t>
      </w:r>
      <w:r>
        <w:t>mosaïque</w:t>
      </w:r>
      <w:r w:rsidR="00717E09">
        <w:t xml:space="preserve"> (syndromes de Klippel-Trenaunay, CLOVES, MCAP)</w:t>
      </w:r>
      <w:r w:rsidR="00616C48">
        <w:t>.</w:t>
      </w:r>
      <w:r w:rsidR="00227969">
        <w:t xml:space="preserve"> Des mutations somatique</w:t>
      </w:r>
      <w:r w:rsidR="00FC479D">
        <w:t>s</w:t>
      </w:r>
      <w:r w:rsidR="00227969">
        <w:t xml:space="preserve"> de</w:t>
      </w:r>
      <w:r w:rsidR="00616C48">
        <w:t xml:space="preserve"> </w:t>
      </w:r>
      <w:r w:rsidR="00616C48" w:rsidRPr="00616C48">
        <w:rPr>
          <w:i/>
        </w:rPr>
        <w:t>PIK3CA</w:t>
      </w:r>
      <w:r w:rsidR="00616C48">
        <w:t xml:space="preserve"> </w:t>
      </w:r>
      <w:r w:rsidR="00227969">
        <w:t>sont</w:t>
      </w:r>
      <w:r w:rsidR="00616C48">
        <w:t xml:space="preserve"> </w:t>
      </w:r>
      <w:r w:rsidR="00227969">
        <w:t xml:space="preserve">impliquées </w:t>
      </w:r>
      <w:r w:rsidR="00616C48">
        <w:t xml:space="preserve">dans divers cancers. </w:t>
      </w:r>
      <w:r w:rsidR="00717E09">
        <w:t>I</w:t>
      </w:r>
      <w:r w:rsidR="00CA030E">
        <w:t xml:space="preserve">l existe dans d’autres syndromes hypertrophiques tels que le syndrome de </w:t>
      </w:r>
      <w:r w:rsidR="00CA030E" w:rsidRPr="00CB5038">
        <w:t>Beckwith-Wiedemann</w:t>
      </w:r>
      <w:r w:rsidR="00CA030E">
        <w:t xml:space="preserve"> un</w:t>
      </w:r>
      <w:r w:rsidR="003F40C0">
        <w:t xml:space="preserve"> risque accru de néphroblastome</w:t>
      </w:r>
      <w:r w:rsidR="00CA030E">
        <w:t xml:space="preserve"> qui motive un dépistage. D</w:t>
      </w:r>
      <w:r w:rsidR="004F120A">
        <w:t xml:space="preserve">ans </w:t>
      </w:r>
      <w:r w:rsidR="002E05EA">
        <w:t xml:space="preserve">le </w:t>
      </w:r>
      <w:r w:rsidR="002E05EA" w:rsidRPr="003F40C0">
        <w:rPr>
          <w:i/>
        </w:rPr>
        <w:t>PROS</w:t>
      </w:r>
      <w:r w:rsidR="002E05EA">
        <w:t xml:space="preserve">, </w:t>
      </w:r>
      <w:r w:rsidR="00227969">
        <w:t xml:space="preserve">même si </w:t>
      </w:r>
      <w:r w:rsidR="002E05EA">
        <w:t>le</w:t>
      </w:r>
      <w:r w:rsidR="00227969">
        <w:t xml:space="preserve"> </w:t>
      </w:r>
      <w:r w:rsidR="002E05EA">
        <w:t xml:space="preserve">risque </w:t>
      </w:r>
      <w:r w:rsidR="00227969">
        <w:t xml:space="preserve">de cancer </w:t>
      </w:r>
      <w:r w:rsidR="00CA030E">
        <w:t xml:space="preserve">est </w:t>
      </w:r>
      <w:r w:rsidR="00227969">
        <w:t>mal connu, d</w:t>
      </w:r>
      <w:r w:rsidR="002E05EA">
        <w:t xml:space="preserve">es échographies de dépistage répétées </w:t>
      </w:r>
      <w:r w:rsidR="00CA030E">
        <w:t>ont été recommandées</w:t>
      </w:r>
      <w:r w:rsidR="002E05EA">
        <w:t>.</w:t>
      </w:r>
      <w:r w:rsidR="00024ADD">
        <w:t xml:space="preserve"> </w:t>
      </w:r>
      <w:r w:rsidR="00717E09">
        <w:t>Nous avons évalué</w:t>
      </w:r>
      <w:r w:rsidR="002E05EA">
        <w:t xml:space="preserve"> </w:t>
      </w:r>
      <w:r>
        <w:t xml:space="preserve">le risque de cancer </w:t>
      </w:r>
      <w:r w:rsidR="002E05EA">
        <w:t>dans une cohorte</w:t>
      </w:r>
      <w:r>
        <w:t xml:space="preserve"> </w:t>
      </w:r>
      <w:r w:rsidR="002E05EA">
        <w:t xml:space="preserve">de </w:t>
      </w:r>
      <w:r>
        <w:t xml:space="preserve">patients </w:t>
      </w:r>
      <w:r w:rsidR="00717E09" w:rsidRPr="00717E09">
        <w:rPr>
          <w:i/>
        </w:rPr>
        <w:t>PROS</w:t>
      </w:r>
      <w:r w:rsidR="00717E09">
        <w:t xml:space="preserve"> </w:t>
      </w:r>
      <w:r>
        <w:t xml:space="preserve">afin </w:t>
      </w:r>
      <w:r w:rsidR="00FD77B0">
        <w:t>d’apprécier</w:t>
      </w:r>
      <w:r>
        <w:t xml:space="preserve"> </w:t>
      </w:r>
      <w:r w:rsidR="002E05EA">
        <w:t xml:space="preserve">la </w:t>
      </w:r>
      <w:r w:rsidR="00024ADD">
        <w:t>pertinence</w:t>
      </w:r>
      <w:r w:rsidR="002E05EA">
        <w:t xml:space="preserve"> d</w:t>
      </w:r>
      <w:r w:rsidR="00024ADD">
        <w:t>e c</w:t>
      </w:r>
      <w:r w:rsidR="002E05EA">
        <w:t>es recommandations.</w:t>
      </w:r>
    </w:p>
    <w:p w:rsidR="00C1779A" w:rsidRDefault="00C1779A" w:rsidP="004E1C86">
      <w:pPr>
        <w:spacing w:line="480" w:lineRule="auto"/>
        <w:jc w:val="both"/>
      </w:pPr>
      <w:r w:rsidRPr="00C1779A">
        <w:rPr>
          <w:b/>
        </w:rPr>
        <w:t xml:space="preserve">Matériel et méthodes : </w:t>
      </w:r>
      <w:r w:rsidR="00024ADD">
        <w:t>Les données de 1</w:t>
      </w:r>
      <w:r w:rsidR="00CC4ABB">
        <w:t>30</w:t>
      </w:r>
      <w:r w:rsidR="00024ADD" w:rsidRPr="00E07B89">
        <w:t xml:space="preserve"> patients </w:t>
      </w:r>
      <w:r w:rsidR="00024ADD">
        <w:t>porteurs d’une</w:t>
      </w:r>
      <w:r w:rsidR="00024ADD" w:rsidRPr="00E07B89">
        <w:t xml:space="preserve"> mutation post-zygotique </w:t>
      </w:r>
      <w:r w:rsidR="00024ADD" w:rsidRPr="00064EC4">
        <w:rPr>
          <w:i/>
        </w:rPr>
        <w:t>PIK3CA</w:t>
      </w:r>
      <w:r w:rsidR="00024ADD">
        <w:t xml:space="preserve"> </w:t>
      </w:r>
      <w:r w:rsidR="00240332">
        <w:t xml:space="preserve">en tissu atteint </w:t>
      </w:r>
      <w:r w:rsidR="00024ADD">
        <w:t>ont été analysées grâce à u</w:t>
      </w:r>
      <w:r w:rsidR="00064EC4">
        <w:t>n</w:t>
      </w:r>
      <w:r w:rsidR="00E07B89">
        <w:t xml:space="preserve"> questionnaire </w:t>
      </w:r>
      <w:r w:rsidR="00717E09">
        <w:t xml:space="preserve">rétrospectif </w:t>
      </w:r>
      <w:r w:rsidR="00024ADD">
        <w:t xml:space="preserve">centré sur </w:t>
      </w:r>
      <w:r w:rsidR="00CA030E">
        <w:t xml:space="preserve">les modalités de surveillance et </w:t>
      </w:r>
      <w:r w:rsidR="00064EC4">
        <w:t>la survenu</w:t>
      </w:r>
      <w:r w:rsidR="00024ADD">
        <w:t>e</w:t>
      </w:r>
      <w:r w:rsidR="00064EC4">
        <w:t xml:space="preserve"> de cancer</w:t>
      </w:r>
      <w:r w:rsidR="00024ADD">
        <w:t>s</w:t>
      </w:r>
      <w:r w:rsidR="00064EC4">
        <w:t>.</w:t>
      </w:r>
    </w:p>
    <w:p w:rsidR="00CA030E" w:rsidRDefault="00064EC4" w:rsidP="004E1C86">
      <w:pPr>
        <w:spacing w:line="480" w:lineRule="auto"/>
        <w:jc w:val="both"/>
      </w:pPr>
      <w:r w:rsidRPr="00064EC4">
        <w:rPr>
          <w:b/>
        </w:rPr>
        <w:t xml:space="preserve">Résultats : </w:t>
      </w:r>
      <w:r w:rsidR="00024ADD">
        <w:t>L</w:t>
      </w:r>
      <w:r>
        <w:t>e</w:t>
      </w:r>
      <w:r w:rsidR="00240332">
        <w:t>s</w:t>
      </w:r>
      <w:r w:rsidR="00690C4B">
        <w:t xml:space="preserve"> </w:t>
      </w:r>
      <w:r w:rsidR="00240332">
        <w:t>donnée</w:t>
      </w:r>
      <w:r w:rsidR="00CC1C6D">
        <w:t>s</w:t>
      </w:r>
      <w:r w:rsidR="00690C4B">
        <w:t xml:space="preserve"> cliniques </w:t>
      </w:r>
      <w:r w:rsidR="00240332">
        <w:t xml:space="preserve">ont pu être recueillies chez </w:t>
      </w:r>
      <w:r w:rsidR="00690C4B">
        <w:t>110</w:t>
      </w:r>
      <w:r>
        <w:t xml:space="preserve"> patients </w:t>
      </w:r>
      <w:r w:rsidR="00024ADD">
        <w:t>(</w:t>
      </w:r>
      <w:r w:rsidR="00CC4ABB">
        <w:t>84,6</w:t>
      </w:r>
      <w:r w:rsidR="00690C4B">
        <w:t>%</w:t>
      </w:r>
      <w:r w:rsidR="00024ADD">
        <w:t>)</w:t>
      </w:r>
      <w:r w:rsidR="00F0114D">
        <w:t>.</w:t>
      </w:r>
      <w:r w:rsidR="00C56F41">
        <w:t xml:space="preserve"> </w:t>
      </w:r>
      <w:r w:rsidR="00FE761E">
        <w:t>Parmi eux, 101 (</w:t>
      </w:r>
      <w:r w:rsidR="00EB3DF0">
        <w:t>92%)</w:t>
      </w:r>
      <w:r w:rsidR="00C22EBE">
        <w:t xml:space="preserve"> ont</w:t>
      </w:r>
      <w:r w:rsidR="00EB3DF0">
        <w:t xml:space="preserve"> eu un suivi clinique itératif. L</w:t>
      </w:r>
      <w:r w:rsidR="00C56F41">
        <w:t xml:space="preserve">’âge médian </w:t>
      </w:r>
      <w:r w:rsidR="00240332">
        <w:t>à</w:t>
      </w:r>
      <w:r w:rsidR="00C459AC">
        <w:t xml:space="preserve"> la dernière visite </w:t>
      </w:r>
      <w:r w:rsidR="00EB3DF0">
        <w:t>étai</w:t>
      </w:r>
      <w:r w:rsidR="00C56F41">
        <w:t xml:space="preserve">t de </w:t>
      </w:r>
      <w:r w:rsidR="00C459AC">
        <w:t>7</w:t>
      </w:r>
      <w:r w:rsidR="00C56F41">
        <w:t xml:space="preserve"> ans</w:t>
      </w:r>
      <w:r w:rsidR="00C459AC">
        <w:t xml:space="preserve"> et 9 mois</w:t>
      </w:r>
      <w:r w:rsidR="00C22EBE">
        <w:t xml:space="preserve"> (1 - 52 ans)</w:t>
      </w:r>
      <w:r w:rsidR="00C459AC">
        <w:t>.</w:t>
      </w:r>
      <w:r w:rsidR="00BD2C47">
        <w:t xml:space="preserve"> Une recherche systématique </w:t>
      </w:r>
      <w:r w:rsidR="00240332">
        <w:t xml:space="preserve">initiale </w:t>
      </w:r>
      <w:r w:rsidR="00BD2C47">
        <w:t>de cancer par imagerie abdominale (échographie : 3</w:t>
      </w:r>
      <w:r w:rsidR="000B6775">
        <w:t>7</w:t>
      </w:r>
      <w:r w:rsidR="00BD2C47">
        <w:t xml:space="preserve"> patien</w:t>
      </w:r>
      <w:r w:rsidR="000B6775">
        <w:t xml:space="preserve">ts, scanner ou IRM : 18) </w:t>
      </w:r>
      <w:r w:rsidR="00240332">
        <w:t xml:space="preserve">a été effectuée </w:t>
      </w:r>
      <w:r w:rsidR="000B6775">
        <w:t>chez 44 patients (40,0</w:t>
      </w:r>
      <w:r w:rsidR="00BD2C47">
        <w:t xml:space="preserve">%). La surveillance ultérieure a comporté un examen clinique </w:t>
      </w:r>
      <w:r w:rsidR="00CC1C6D">
        <w:t>plus d’une</w:t>
      </w:r>
      <w:r w:rsidR="00240332">
        <w:t xml:space="preserve"> fois par an chez 43 patients, </w:t>
      </w:r>
      <w:r w:rsidR="00BD2C47">
        <w:t xml:space="preserve">une fois par an </w:t>
      </w:r>
      <w:r w:rsidR="001B4B5B">
        <w:t xml:space="preserve">ou moins </w:t>
      </w:r>
      <w:r w:rsidR="00BD2C47">
        <w:t>chez 58 pat</w:t>
      </w:r>
      <w:r w:rsidR="001B4B5B">
        <w:t>ients (57.4%)</w:t>
      </w:r>
      <w:r w:rsidR="00BD2C47">
        <w:t>. Une surveillance ulté</w:t>
      </w:r>
      <w:r w:rsidR="00C42467">
        <w:t xml:space="preserve">rieure par imagerie itérative </w:t>
      </w:r>
      <w:r w:rsidR="00BD2C47">
        <w:t xml:space="preserve">a été effectuée chez 35 </w:t>
      </w:r>
      <w:r w:rsidR="00BD2C47" w:rsidRPr="00BD2C47">
        <w:t>patients</w:t>
      </w:r>
      <w:r w:rsidR="00BD2C47">
        <w:t xml:space="preserve"> (31,8%</w:t>
      </w:r>
      <w:r w:rsidR="004C3417">
        <w:t xml:space="preserve">), dont </w:t>
      </w:r>
      <w:r w:rsidR="000B6775">
        <w:t>15 (13.4%) ont eu un suivi échographique abdominal to</w:t>
      </w:r>
      <w:r w:rsidR="004C3417">
        <w:t xml:space="preserve">us les 6 mois ou plus </w:t>
      </w:r>
      <w:r w:rsidR="00227969">
        <w:t>souvent</w:t>
      </w:r>
      <w:r w:rsidR="004C3417">
        <w:t xml:space="preserve">. </w:t>
      </w:r>
      <w:r w:rsidR="00C42467">
        <w:t xml:space="preserve">Chez 54 patients (53,5%), aucune imagerie systématique de suivi n’a été réalisée. </w:t>
      </w:r>
      <w:r w:rsidR="00690C4B">
        <w:t>Seules d</w:t>
      </w:r>
      <w:r w:rsidR="00396CEC">
        <w:t>eux</w:t>
      </w:r>
      <w:r w:rsidR="00F0114D">
        <w:t xml:space="preserve"> patient</w:t>
      </w:r>
      <w:r w:rsidR="00253BF5">
        <w:t>e</w:t>
      </w:r>
      <w:r w:rsidR="00690C4B">
        <w:t xml:space="preserve">s </w:t>
      </w:r>
      <w:r w:rsidR="00F0114D">
        <w:t xml:space="preserve">ont </w:t>
      </w:r>
      <w:r w:rsidR="00690C4B">
        <w:t>développé</w:t>
      </w:r>
      <w:r w:rsidR="00F0114D">
        <w:t xml:space="preserve"> un cancer</w:t>
      </w:r>
      <w:r w:rsidR="00253BF5">
        <w:t xml:space="preserve"> (</w:t>
      </w:r>
      <w:r w:rsidR="00396CEC">
        <w:t>1.8</w:t>
      </w:r>
      <w:r w:rsidR="00253BF5">
        <w:t>%)</w:t>
      </w:r>
      <w:r w:rsidR="00690C4B">
        <w:t xml:space="preserve"> : </w:t>
      </w:r>
      <w:r w:rsidR="00C42467">
        <w:t xml:space="preserve">un adénocarcinome gastrique à 52 ans dans les suites d’une gastrite chronique atrophiante, et </w:t>
      </w:r>
      <w:r w:rsidR="00774878">
        <w:t>un</w:t>
      </w:r>
      <w:r w:rsidR="00253BF5">
        <w:t xml:space="preserve"> </w:t>
      </w:r>
      <w:r w:rsidR="00F0114D">
        <w:t>néphrobla</w:t>
      </w:r>
      <w:r w:rsidR="00C56F41">
        <w:t>s</w:t>
      </w:r>
      <w:r w:rsidR="00F0114D">
        <w:t>tome</w:t>
      </w:r>
      <w:r w:rsidR="00253BF5">
        <w:t xml:space="preserve"> du rein gauche, diagnostiqué </w:t>
      </w:r>
      <w:r w:rsidR="00724864">
        <w:t xml:space="preserve">à 9 ans </w:t>
      </w:r>
      <w:r w:rsidR="00690C4B">
        <w:t>par</w:t>
      </w:r>
      <w:r w:rsidR="00253BF5">
        <w:t xml:space="preserve"> surv</w:t>
      </w:r>
      <w:r w:rsidR="00690C4B">
        <w:t>eillance échographique annuelle</w:t>
      </w:r>
      <w:r w:rsidR="00C42467">
        <w:t xml:space="preserve"> depuis la naissance. </w:t>
      </w:r>
      <w:r w:rsidR="00AD70E0">
        <w:t xml:space="preserve">A l’âge de 3 ans, une masse de 2 cm de diamètre avait été identifiée et avait disparu à l’âge de 6 ans. </w:t>
      </w:r>
      <w:r w:rsidR="00C42467">
        <w:t xml:space="preserve">Cette patiente présentait une hypertrophie </w:t>
      </w:r>
      <w:r w:rsidR="009C061F">
        <w:t xml:space="preserve">avec malformation vasculaire </w:t>
      </w:r>
      <w:r w:rsidR="001B4B5B">
        <w:t xml:space="preserve">étendue </w:t>
      </w:r>
      <w:r w:rsidR="00C42467">
        <w:t>du membre inférieur droit</w:t>
      </w:r>
      <w:r w:rsidR="001B4B5B">
        <w:t xml:space="preserve"> et de l’abdomen</w:t>
      </w:r>
      <w:r w:rsidR="009C061F">
        <w:t xml:space="preserve">. </w:t>
      </w:r>
    </w:p>
    <w:p w:rsidR="00F16DBD" w:rsidRPr="00E07B89" w:rsidRDefault="00826F92" w:rsidP="00BD2C47">
      <w:pPr>
        <w:spacing w:line="480" w:lineRule="auto"/>
        <w:jc w:val="both"/>
      </w:pPr>
      <w:r w:rsidRPr="00086180">
        <w:rPr>
          <w:b/>
        </w:rPr>
        <w:t>Discussion</w:t>
      </w:r>
      <w:r w:rsidRPr="00086180">
        <w:t> :</w:t>
      </w:r>
      <w:r w:rsidR="001B4B5B">
        <w:t xml:space="preserve"> A ce jour, s</w:t>
      </w:r>
      <w:r w:rsidR="003F551C">
        <w:t>euls 6</w:t>
      </w:r>
      <w:r w:rsidR="00B84334">
        <w:t xml:space="preserve"> cas de néphroblastome ou de reliquats néphrogéniques ont été rapportés chez </w:t>
      </w:r>
      <w:r w:rsidR="003F551C">
        <w:t>428</w:t>
      </w:r>
      <w:r w:rsidR="00B84334">
        <w:t xml:space="preserve"> patients mutés </w:t>
      </w:r>
      <w:r w:rsidR="00B84334" w:rsidRPr="00E374C9">
        <w:rPr>
          <w:i/>
        </w:rPr>
        <w:t>PIK3CA</w:t>
      </w:r>
      <w:r w:rsidR="001B4B5B">
        <w:t xml:space="preserve"> (e</w:t>
      </w:r>
      <w:r w:rsidR="003F551C">
        <w:t xml:space="preserve">n incluant notre cohorte de </w:t>
      </w:r>
      <w:r w:rsidR="003F551C" w:rsidRPr="007434A4">
        <w:t>110 patients</w:t>
      </w:r>
      <w:r w:rsidR="003F551C">
        <w:t xml:space="preserve"> - </w:t>
      </w:r>
      <w:r w:rsidR="003F551C" w:rsidRPr="007434A4">
        <w:t xml:space="preserve">la plus grande </w:t>
      </w:r>
      <w:r w:rsidR="001B4B5B">
        <w:t xml:space="preserve">à ce jour). Une </w:t>
      </w:r>
      <w:r w:rsidR="00D42261">
        <w:t>mutation p.His1047Leu/</w:t>
      </w:r>
      <w:r w:rsidR="003F551C">
        <w:t>A</w:t>
      </w:r>
      <w:r w:rsidR="003F40C0">
        <w:t>rg, fortement oncogénique, é</w:t>
      </w:r>
      <w:r w:rsidR="001B4B5B">
        <w:t>tait présente chez tous les patients sauf un.</w:t>
      </w:r>
      <w:r w:rsidR="003F40C0">
        <w:t xml:space="preserve"> </w:t>
      </w:r>
      <w:r w:rsidR="00C82886">
        <w:t xml:space="preserve">Une revue </w:t>
      </w:r>
      <w:r w:rsidR="00D42261">
        <w:t xml:space="preserve">systématique </w:t>
      </w:r>
      <w:r w:rsidR="00C82886">
        <w:t xml:space="preserve">de la littérature </w:t>
      </w:r>
      <w:r w:rsidR="00D42261">
        <w:t>n’a</w:t>
      </w:r>
      <w:r w:rsidR="00124F6D">
        <w:t>vait</w:t>
      </w:r>
      <w:r w:rsidR="00D42261">
        <w:t xml:space="preserve"> </w:t>
      </w:r>
      <w:r w:rsidR="00695B60">
        <w:t xml:space="preserve">pas </w:t>
      </w:r>
      <w:r w:rsidR="00D42261">
        <w:t>retrouvé</w:t>
      </w:r>
      <w:r w:rsidR="00C82886">
        <w:t xml:space="preserve"> </w:t>
      </w:r>
      <w:r w:rsidR="00695B60">
        <w:t>d’augmentation du risque</w:t>
      </w:r>
      <w:r w:rsidR="00C82886">
        <w:t xml:space="preserve"> de néphroblasto</w:t>
      </w:r>
      <w:r w:rsidR="00D42261">
        <w:t>me dans le</w:t>
      </w:r>
      <w:r w:rsidR="005F4B6A">
        <w:t>s</w:t>
      </w:r>
      <w:r w:rsidR="00D42261">
        <w:t xml:space="preserve"> syndrome</w:t>
      </w:r>
      <w:r w:rsidR="005F4B6A">
        <w:t>s</w:t>
      </w:r>
      <w:r w:rsidR="00D42261">
        <w:t xml:space="preserve"> de Klippel-</w:t>
      </w:r>
      <w:r w:rsidR="00C82886">
        <w:t xml:space="preserve">Trenaunay et MCAP. Le risque de cancer dans le PROS </w:t>
      </w:r>
      <w:r w:rsidR="00124F6D">
        <w:t>apparaît</w:t>
      </w:r>
      <w:r w:rsidR="00C82886">
        <w:t xml:space="preserve"> </w:t>
      </w:r>
      <w:r w:rsidR="003F551C">
        <w:t xml:space="preserve">donc </w:t>
      </w:r>
      <w:r w:rsidR="00C82886">
        <w:t>inférieur à celui des au</w:t>
      </w:r>
      <w:r w:rsidR="003F551C">
        <w:t>tr</w:t>
      </w:r>
      <w:r w:rsidR="00795733">
        <w:t xml:space="preserve">es syndromes hypertrophiques. </w:t>
      </w:r>
      <w:r w:rsidR="00695B60">
        <w:t>Il pou</w:t>
      </w:r>
      <w:r w:rsidR="005F4B6A">
        <w:t xml:space="preserve">rrait dépendre de l’étendue du mosaïcisme tissulaire. </w:t>
      </w:r>
      <w:r w:rsidR="00795733">
        <w:t>Il n’existe pas suffisamment d’éléments pour</w:t>
      </w:r>
      <w:r w:rsidR="00D42261">
        <w:t xml:space="preserve"> </w:t>
      </w:r>
      <w:r w:rsidR="00695B60">
        <w:t xml:space="preserve">recommander </w:t>
      </w:r>
      <w:r w:rsidR="00D42261">
        <w:t>une surveillance systématique.</w:t>
      </w:r>
    </w:p>
    <w:sectPr w:rsidR="00F16DBD" w:rsidRPr="00E07B89" w:rsidSect="000E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compat/>
  <w:rsids>
    <w:rsidRoot w:val="00906342"/>
    <w:rsid w:val="00020C30"/>
    <w:rsid w:val="00024ADD"/>
    <w:rsid w:val="00064EC4"/>
    <w:rsid w:val="00070E01"/>
    <w:rsid w:val="00086180"/>
    <w:rsid w:val="00096695"/>
    <w:rsid w:val="000A40DF"/>
    <w:rsid w:val="000B6775"/>
    <w:rsid w:val="000C0FDA"/>
    <w:rsid w:val="000E1977"/>
    <w:rsid w:val="00124F6D"/>
    <w:rsid w:val="001B3927"/>
    <w:rsid w:val="001B4B5B"/>
    <w:rsid w:val="001C104E"/>
    <w:rsid w:val="001F499F"/>
    <w:rsid w:val="00227969"/>
    <w:rsid w:val="00240332"/>
    <w:rsid w:val="00253BF5"/>
    <w:rsid w:val="002E05EA"/>
    <w:rsid w:val="00396CEC"/>
    <w:rsid w:val="003F40C0"/>
    <w:rsid w:val="003F48E4"/>
    <w:rsid w:val="003F551C"/>
    <w:rsid w:val="0041129B"/>
    <w:rsid w:val="00444A44"/>
    <w:rsid w:val="004765C8"/>
    <w:rsid w:val="004931DF"/>
    <w:rsid w:val="004C3417"/>
    <w:rsid w:val="004E1C86"/>
    <w:rsid w:val="004F120A"/>
    <w:rsid w:val="00541593"/>
    <w:rsid w:val="005F4B6A"/>
    <w:rsid w:val="00602D00"/>
    <w:rsid w:val="00616C48"/>
    <w:rsid w:val="00641C32"/>
    <w:rsid w:val="006761EB"/>
    <w:rsid w:val="00690C4B"/>
    <w:rsid w:val="00695B60"/>
    <w:rsid w:val="006A408C"/>
    <w:rsid w:val="006D270A"/>
    <w:rsid w:val="00717E09"/>
    <w:rsid w:val="00724864"/>
    <w:rsid w:val="007434A4"/>
    <w:rsid w:val="00774878"/>
    <w:rsid w:val="00795733"/>
    <w:rsid w:val="007A38F9"/>
    <w:rsid w:val="007A51D7"/>
    <w:rsid w:val="007B0343"/>
    <w:rsid w:val="00821465"/>
    <w:rsid w:val="00823776"/>
    <w:rsid w:val="00826F92"/>
    <w:rsid w:val="00845FA2"/>
    <w:rsid w:val="00892EE5"/>
    <w:rsid w:val="008C28C9"/>
    <w:rsid w:val="00906342"/>
    <w:rsid w:val="00960F65"/>
    <w:rsid w:val="009937EE"/>
    <w:rsid w:val="009C061F"/>
    <w:rsid w:val="009D0119"/>
    <w:rsid w:val="00A31E4D"/>
    <w:rsid w:val="00A578F2"/>
    <w:rsid w:val="00A65DA9"/>
    <w:rsid w:val="00AB1704"/>
    <w:rsid w:val="00AD70E0"/>
    <w:rsid w:val="00B84334"/>
    <w:rsid w:val="00BB24B1"/>
    <w:rsid w:val="00BD2C47"/>
    <w:rsid w:val="00C1779A"/>
    <w:rsid w:val="00C22EBE"/>
    <w:rsid w:val="00C33165"/>
    <w:rsid w:val="00C42467"/>
    <w:rsid w:val="00C459AC"/>
    <w:rsid w:val="00C56F41"/>
    <w:rsid w:val="00C656A1"/>
    <w:rsid w:val="00C82886"/>
    <w:rsid w:val="00CA030E"/>
    <w:rsid w:val="00CB5038"/>
    <w:rsid w:val="00CC1C6D"/>
    <w:rsid w:val="00CC4ABB"/>
    <w:rsid w:val="00CF0B62"/>
    <w:rsid w:val="00D36037"/>
    <w:rsid w:val="00D42261"/>
    <w:rsid w:val="00DE3A9F"/>
    <w:rsid w:val="00E07B89"/>
    <w:rsid w:val="00E374C9"/>
    <w:rsid w:val="00EA28E6"/>
    <w:rsid w:val="00EB3DF0"/>
    <w:rsid w:val="00EE496D"/>
    <w:rsid w:val="00EF0342"/>
    <w:rsid w:val="00F0114D"/>
    <w:rsid w:val="00F16DBD"/>
    <w:rsid w:val="00F83FD7"/>
    <w:rsid w:val="00FA0ECC"/>
    <w:rsid w:val="00FC479D"/>
    <w:rsid w:val="00FD77B0"/>
    <w:rsid w:val="00FE761E"/>
  </w:rsids>
  <m:mathPr>
    <m:mathFont m:val="MS Minch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7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highlight">
    <w:name w:val="highlight"/>
    <w:basedOn w:val="Policepardfaut"/>
    <w:qFormat/>
    <w:rsid w:val="00CB50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ighlight">
    <w:name w:val="highlight"/>
    <w:basedOn w:val="Policepardfaut"/>
    <w:qFormat/>
    <w:rsid w:val="00CB5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Jean-Charles Crepin</dc:creator>
  <cp:keywords/>
  <dc:description/>
  <cp:lastModifiedBy>Isabelle ADO</cp:lastModifiedBy>
  <cp:revision>2</cp:revision>
  <dcterms:created xsi:type="dcterms:W3CDTF">2017-10-17T08:38:00Z</dcterms:created>
  <dcterms:modified xsi:type="dcterms:W3CDTF">2017-10-17T08:38:00Z</dcterms:modified>
</cp:coreProperties>
</file>