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AE" w:rsidRPr="002C15A1" w:rsidRDefault="009828AE" w:rsidP="004E7EE1">
      <w:pPr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2C15A1">
        <w:rPr>
          <w:rFonts w:ascii="Arial" w:hAnsi="Arial" w:cs="Arial"/>
          <w:b/>
          <w:iCs/>
          <w:sz w:val="20"/>
          <w:szCs w:val="20"/>
        </w:rPr>
        <w:t xml:space="preserve">Essai thérapeutique pilote non randomisé pour le traitement par Sirolimus de syndromes hypertrophiques liés à PIK3CA </w:t>
      </w:r>
      <w:r w:rsidR="00A64522">
        <w:rPr>
          <w:rFonts w:ascii="Arial" w:hAnsi="Arial" w:cs="Arial"/>
          <w:b/>
          <w:iCs/>
          <w:sz w:val="20"/>
          <w:szCs w:val="20"/>
        </w:rPr>
        <w:t>(</w:t>
      </w:r>
      <w:r w:rsidRPr="002C15A1">
        <w:rPr>
          <w:rFonts w:ascii="Arial" w:hAnsi="Arial" w:cs="Arial"/>
          <w:b/>
          <w:iCs/>
          <w:sz w:val="20"/>
          <w:szCs w:val="20"/>
        </w:rPr>
        <w:t>PROMISE</w:t>
      </w:r>
      <w:r w:rsidR="00A64522">
        <w:rPr>
          <w:rFonts w:ascii="Arial" w:hAnsi="Arial" w:cs="Arial"/>
          <w:b/>
          <w:iCs/>
          <w:sz w:val="20"/>
          <w:szCs w:val="20"/>
        </w:rPr>
        <w:t>).</w:t>
      </w:r>
    </w:p>
    <w:p w:rsidR="009828AE" w:rsidRDefault="009828AE" w:rsidP="004E7EE1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 Vabres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662B4B">
        <w:rPr>
          <w:rFonts w:ascii="Arial" w:hAnsi="Arial" w:cs="Arial"/>
          <w:iCs/>
          <w:sz w:val="20"/>
          <w:szCs w:val="20"/>
        </w:rPr>
        <w:t>M Luu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 w:rsidR="00662B4B">
        <w:rPr>
          <w:rFonts w:ascii="Arial" w:hAnsi="Arial" w:cs="Arial"/>
          <w:iCs/>
          <w:sz w:val="20"/>
          <w:szCs w:val="20"/>
        </w:rPr>
        <w:t xml:space="preserve">, </w:t>
      </w:r>
      <w:r w:rsidR="00E305A6">
        <w:rPr>
          <w:rFonts w:ascii="Arial" w:hAnsi="Arial" w:cs="Arial"/>
          <w:iCs/>
          <w:sz w:val="20"/>
          <w:szCs w:val="20"/>
        </w:rPr>
        <w:t>S Hadj-Rabia</w:t>
      </w:r>
      <w:r w:rsidR="00BE6A49">
        <w:rPr>
          <w:rFonts w:ascii="Arial" w:hAnsi="Arial" w:cs="Arial"/>
          <w:sz w:val="20"/>
          <w:szCs w:val="20"/>
          <w:vertAlign w:val="superscript"/>
        </w:rPr>
        <w:t>2</w:t>
      </w:r>
      <w:r w:rsidR="00E305A6">
        <w:rPr>
          <w:rFonts w:ascii="Arial" w:hAnsi="Arial" w:cs="Arial"/>
          <w:iCs/>
          <w:sz w:val="20"/>
          <w:szCs w:val="20"/>
        </w:rPr>
        <w:t>, A Phan</w:t>
      </w:r>
      <w:r w:rsidR="00BE6A49">
        <w:rPr>
          <w:rFonts w:ascii="Arial" w:hAnsi="Arial" w:cs="Arial"/>
          <w:sz w:val="20"/>
          <w:szCs w:val="20"/>
          <w:vertAlign w:val="superscript"/>
        </w:rPr>
        <w:t>3</w:t>
      </w:r>
      <w:r w:rsidR="00E305A6">
        <w:rPr>
          <w:rFonts w:ascii="Arial" w:hAnsi="Arial" w:cs="Arial"/>
          <w:iCs/>
          <w:sz w:val="20"/>
          <w:szCs w:val="20"/>
        </w:rPr>
        <w:t>, F Morice</w:t>
      </w:r>
      <w:r w:rsidR="002052DE">
        <w:rPr>
          <w:rFonts w:ascii="Arial" w:hAnsi="Arial" w:cs="Arial"/>
          <w:iCs/>
          <w:sz w:val="20"/>
          <w:szCs w:val="20"/>
        </w:rPr>
        <w:t>-</w:t>
      </w:r>
      <w:r w:rsidR="00E305A6">
        <w:rPr>
          <w:rFonts w:ascii="Arial" w:hAnsi="Arial" w:cs="Arial"/>
          <w:iCs/>
          <w:sz w:val="20"/>
          <w:szCs w:val="20"/>
        </w:rPr>
        <w:t>Picard</w:t>
      </w:r>
      <w:r w:rsidR="00205968">
        <w:rPr>
          <w:rFonts w:ascii="Arial" w:hAnsi="Arial" w:cs="Arial"/>
          <w:sz w:val="20"/>
          <w:szCs w:val="20"/>
          <w:vertAlign w:val="superscript"/>
        </w:rPr>
        <w:t>4</w:t>
      </w:r>
      <w:r w:rsidR="00E305A6">
        <w:rPr>
          <w:rFonts w:ascii="Arial" w:hAnsi="Arial" w:cs="Arial"/>
          <w:iCs/>
          <w:sz w:val="20"/>
          <w:szCs w:val="20"/>
        </w:rPr>
        <w:t>, L Martin</w:t>
      </w:r>
      <w:r w:rsidR="00205968">
        <w:rPr>
          <w:rFonts w:ascii="Arial" w:hAnsi="Arial" w:cs="Arial"/>
          <w:sz w:val="20"/>
          <w:szCs w:val="20"/>
          <w:vertAlign w:val="superscript"/>
        </w:rPr>
        <w:t>5</w:t>
      </w:r>
      <w:r w:rsidR="00E305A6">
        <w:rPr>
          <w:rFonts w:ascii="Arial" w:hAnsi="Arial" w:cs="Arial"/>
          <w:iCs/>
          <w:sz w:val="20"/>
          <w:szCs w:val="20"/>
        </w:rPr>
        <w:t>, D Bessis</w:t>
      </w:r>
      <w:r w:rsidR="00205968">
        <w:rPr>
          <w:rFonts w:ascii="Arial" w:hAnsi="Arial" w:cs="Arial"/>
          <w:sz w:val="20"/>
          <w:szCs w:val="20"/>
          <w:vertAlign w:val="superscript"/>
        </w:rPr>
        <w:t>6</w:t>
      </w:r>
      <w:r w:rsidR="00E305A6">
        <w:rPr>
          <w:rFonts w:ascii="Arial" w:hAnsi="Arial" w:cs="Arial"/>
          <w:iCs/>
          <w:sz w:val="20"/>
          <w:szCs w:val="20"/>
        </w:rPr>
        <w:t>, C Coubes</w:t>
      </w:r>
      <w:r w:rsidR="00205968">
        <w:rPr>
          <w:rFonts w:ascii="Arial" w:hAnsi="Arial" w:cs="Arial"/>
          <w:sz w:val="20"/>
          <w:szCs w:val="20"/>
          <w:vertAlign w:val="superscript"/>
        </w:rPr>
        <w:t>6</w:t>
      </w:r>
      <w:r w:rsidR="00E305A6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R Loffroy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>, C Bonnin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>, P Pottecher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>, A Delignette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662B4B">
        <w:rPr>
          <w:rFonts w:ascii="Arial" w:hAnsi="Arial" w:cs="Arial"/>
          <w:iCs/>
          <w:sz w:val="20"/>
          <w:szCs w:val="20"/>
        </w:rPr>
        <w:t>E Gautier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 w:rsidR="00662B4B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C Binquet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>, C Thauvin-Robinet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461056">
        <w:rPr>
          <w:rFonts w:ascii="Arial" w:hAnsi="Arial" w:cs="Arial"/>
          <w:iCs/>
          <w:sz w:val="20"/>
          <w:szCs w:val="20"/>
        </w:rPr>
        <w:t>C Fleck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 w:rsidR="00461056">
        <w:rPr>
          <w:rFonts w:ascii="Arial" w:hAnsi="Arial" w:cs="Arial"/>
          <w:iCs/>
          <w:sz w:val="20"/>
          <w:szCs w:val="20"/>
        </w:rPr>
        <w:t>, A Maurer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 w:rsidR="00461056">
        <w:rPr>
          <w:rFonts w:ascii="Arial" w:hAnsi="Arial" w:cs="Arial"/>
          <w:iCs/>
          <w:sz w:val="20"/>
          <w:szCs w:val="20"/>
        </w:rPr>
        <w:t>, C Binquet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 w:rsidR="00461056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JB Rivière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>, P Kuentz</w:t>
      </w:r>
      <w:r w:rsidR="00BE6A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, K </w:t>
      </w:r>
      <w:r w:rsidRPr="00A742F4">
        <w:rPr>
          <w:rFonts w:ascii="Arial" w:hAnsi="Arial" w:cs="Arial"/>
          <w:iCs/>
          <w:sz w:val="20"/>
          <w:szCs w:val="20"/>
        </w:rPr>
        <w:t>Keppler-Noreuil</w:t>
      </w:r>
      <w:r w:rsidR="00205968"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iCs/>
          <w:sz w:val="20"/>
          <w:szCs w:val="20"/>
        </w:rPr>
        <w:t>, L</w:t>
      </w:r>
      <w:r w:rsidRPr="00A742F4">
        <w:rPr>
          <w:rFonts w:ascii="Arial" w:hAnsi="Arial" w:cs="Arial"/>
          <w:iCs/>
          <w:sz w:val="20"/>
          <w:szCs w:val="20"/>
        </w:rPr>
        <w:t xml:space="preserve"> Biesecker</w:t>
      </w:r>
      <w:r w:rsidR="00205968"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iCs/>
          <w:sz w:val="20"/>
          <w:szCs w:val="20"/>
        </w:rPr>
        <w:t>, R Semple</w:t>
      </w:r>
      <w:r w:rsidR="00205968"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iCs/>
          <w:sz w:val="20"/>
          <w:szCs w:val="20"/>
        </w:rPr>
        <w:t>, V Parker</w:t>
      </w:r>
      <w:r w:rsidR="00205968"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461056">
        <w:rPr>
          <w:rFonts w:ascii="Arial" w:hAnsi="Arial" w:cs="Arial"/>
          <w:iCs/>
          <w:sz w:val="20"/>
          <w:szCs w:val="20"/>
        </w:rPr>
        <w:t>M Carpentier</w:t>
      </w:r>
      <w:r w:rsidR="00205968">
        <w:rPr>
          <w:rFonts w:ascii="Arial" w:hAnsi="Arial" w:cs="Arial"/>
          <w:sz w:val="20"/>
          <w:szCs w:val="20"/>
          <w:vertAlign w:val="superscript"/>
        </w:rPr>
        <w:t>1</w:t>
      </w:r>
      <w:r w:rsidR="00461056">
        <w:rPr>
          <w:rFonts w:ascii="Arial" w:hAnsi="Arial" w:cs="Arial"/>
          <w:iCs/>
          <w:sz w:val="20"/>
          <w:szCs w:val="20"/>
        </w:rPr>
        <w:t>, M Bardou</w:t>
      </w:r>
      <w:r w:rsidR="00205968">
        <w:rPr>
          <w:rFonts w:ascii="Arial" w:hAnsi="Arial" w:cs="Arial"/>
          <w:sz w:val="20"/>
          <w:szCs w:val="20"/>
          <w:vertAlign w:val="superscript"/>
        </w:rPr>
        <w:t>1</w:t>
      </w:r>
      <w:r w:rsidR="00461056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L Faivre</w:t>
      </w:r>
      <w:r w:rsidR="00205968">
        <w:rPr>
          <w:rFonts w:ascii="Arial" w:hAnsi="Arial" w:cs="Arial"/>
          <w:sz w:val="20"/>
          <w:szCs w:val="20"/>
          <w:vertAlign w:val="superscript"/>
        </w:rPr>
        <w:t>1</w:t>
      </w:r>
      <w:r w:rsidR="00BE6A49">
        <w:rPr>
          <w:rFonts w:ascii="Arial" w:hAnsi="Arial" w:cs="Arial"/>
          <w:iCs/>
          <w:sz w:val="20"/>
          <w:szCs w:val="20"/>
        </w:rPr>
        <w:t xml:space="preserve">. </w:t>
      </w:r>
      <w:r w:rsidR="00205968">
        <w:rPr>
          <w:rFonts w:ascii="Arial" w:hAnsi="Arial" w:cs="Arial"/>
          <w:sz w:val="20"/>
          <w:szCs w:val="20"/>
          <w:vertAlign w:val="superscript"/>
        </w:rPr>
        <w:t>1</w:t>
      </w:r>
      <w:r w:rsidR="00BE6A49">
        <w:rPr>
          <w:rFonts w:ascii="Arial" w:hAnsi="Arial" w:cs="Arial"/>
          <w:iCs/>
          <w:sz w:val="20"/>
          <w:szCs w:val="20"/>
        </w:rPr>
        <w:t xml:space="preserve">CHU de Dijon, </w:t>
      </w:r>
      <w:r w:rsidR="00205968">
        <w:rPr>
          <w:rFonts w:ascii="Arial" w:hAnsi="Arial" w:cs="Arial"/>
          <w:sz w:val="20"/>
          <w:szCs w:val="20"/>
          <w:vertAlign w:val="superscript"/>
        </w:rPr>
        <w:t>2</w:t>
      </w:r>
      <w:r w:rsidR="00BE6A49">
        <w:rPr>
          <w:rFonts w:ascii="Arial" w:hAnsi="Arial" w:cs="Arial"/>
          <w:iCs/>
          <w:sz w:val="20"/>
          <w:szCs w:val="20"/>
        </w:rPr>
        <w:t xml:space="preserve">CHU Necker, Paris, </w:t>
      </w:r>
      <w:r w:rsidR="00205968">
        <w:rPr>
          <w:rFonts w:ascii="Arial" w:hAnsi="Arial" w:cs="Arial"/>
          <w:sz w:val="20"/>
          <w:szCs w:val="20"/>
          <w:vertAlign w:val="superscript"/>
        </w:rPr>
        <w:t>3</w:t>
      </w:r>
      <w:r w:rsidR="00BE6A49">
        <w:rPr>
          <w:rFonts w:ascii="Arial" w:hAnsi="Arial" w:cs="Arial"/>
          <w:iCs/>
          <w:sz w:val="20"/>
          <w:szCs w:val="20"/>
        </w:rPr>
        <w:t xml:space="preserve">HFME, Lyon-Bron, </w:t>
      </w:r>
      <w:r w:rsidR="00205968">
        <w:rPr>
          <w:rFonts w:ascii="Arial" w:hAnsi="Arial" w:cs="Arial"/>
          <w:sz w:val="20"/>
          <w:szCs w:val="20"/>
          <w:vertAlign w:val="superscript"/>
        </w:rPr>
        <w:t>4</w:t>
      </w:r>
      <w:r w:rsidR="00BE6A49">
        <w:rPr>
          <w:rFonts w:ascii="Arial" w:hAnsi="Arial" w:cs="Arial"/>
          <w:iCs/>
          <w:sz w:val="20"/>
          <w:szCs w:val="20"/>
        </w:rPr>
        <w:t xml:space="preserve">CHU de Bordeaux, </w:t>
      </w:r>
      <w:r w:rsidR="00205968">
        <w:rPr>
          <w:rFonts w:ascii="Arial" w:hAnsi="Arial" w:cs="Arial"/>
          <w:sz w:val="20"/>
          <w:szCs w:val="20"/>
          <w:vertAlign w:val="superscript"/>
        </w:rPr>
        <w:t>5</w:t>
      </w:r>
      <w:r w:rsidR="00BE6A49">
        <w:rPr>
          <w:rFonts w:ascii="Arial" w:hAnsi="Arial" w:cs="Arial"/>
          <w:iCs/>
          <w:sz w:val="20"/>
          <w:szCs w:val="20"/>
        </w:rPr>
        <w:t xml:space="preserve">CHU d’Angers, </w:t>
      </w:r>
      <w:r w:rsidR="00205968">
        <w:rPr>
          <w:rFonts w:ascii="Arial" w:hAnsi="Arial" w:cs="Arial"/>
          <w:sz w:val="20"/>
          <w:szCs w:val="20"/>
          <w:vertAlign w:val="superscript"/>
        </w:rPr>
        <w:t>6</w:t>
      </w:r>
      <w:r w:rsidR="00BE6A49">
        <w:rPr>
          <w:rFonts w:ascii="Arial" w:hAnsi="Arial" w:cs="Arial"/>
          <w:iCs/>
          <w:sz w:val="20"/>
          <w:szCs w:val="20"/>
        </w:rPr>
        <w:t xml:space="preserve">CHU de Montpellier, </w:t>
      </w:r>
      <w:r w:rsidR="00205968">
        <w:rPr>
          <w:rFonts w:ascii="Arial" w:hAnsi="Arial" w:cs="Arial"/>
          <w:sz w:val="20"/>
          <w:szCs w:val="20"/>
          <w:vertAlign w:val="superscript"/>
        </w:rPr>
        <w:t>7</w:t>
      </w:r>
      <w:r w:rsidR="00BE6A49">
        <w:t xml:space="preserve">Addenbrooke’s Hospital, Cambridge, UK, </w:t>
      </w:r>
      <w:r w:rsidR="00205968">
        <w:rPr>
          <w:rFonts w:ascii="Arial" w:hAnsi="Arial" w:cs="Arial"/>
          <w:sz w:val="20"/>
          <w:szCs w:val="20"/>
          <w:vertAlign w:val="superscript"/>
        </w:rPr>
        <w:t>8</w:t>
      </w:r>
      <w:r w:rsidR="00BE6A49">
        <w:t>NIH, Bethesda ; MD, USA</w:t>
      </w:r>
    </w:p>
    <w:p w:rsidR="001D59F9" w:rsidRDefault="001D59F9" w:rsidP="00642818">
      <w:pPr>
        <w:jc w:val="both"/>
      </w:pPr>
    </w:p>
    <w:p w:rsidR="00461056" w:rsidRDefault="0026773F" w:rsidP="00642818">
      <w:pPr>
        <w:jc w:val="both"/>
      </w:pPr>
      <w:r w:rsidRPr="00E56C48">
        <w:rPr>
          <w:b/>
        </w:rPr>
        <w:t>Introduction.</w:t>
      </w:r>
      <w:r>
        <w:t xml:space="preserve"> </w:t>
      </w:r>
      <w:r w:rsidR="002052DE">
        <w:t>L</w:t>
      </w:r>
      <w:r w:rsidR="002833E9">
        <w:t xml:space="preserve">e spectre </w:t>
      </w:r>
      <w:r w:rsidR="0082313F">
        <w:t>PROS</w:t>
      </w:r>
      <w:r w:rsidR="002833E9">
        <w:t xml:space="preserve"> (</w:t>
      </w:r>
      <w:r w:rsidR="002833E9" w:rsidRPr="002833E9">
        <w:rPr>
          <w:i/>
        </w:rPr>
        <w:t>PIK3CA</w:t>
      </w:r>
      <w:r w:rsidR="002833E9">
        <w:t>-related overgrowth spectrum) regroupe l</w:t>
      </w:r>
      <w:r w:rsidR="000C2629">
        <w:t>’hyperplasie fibro-</w:t>
      </w:r>
      <w:r w:rsidR="002833E9">
        <w:t>adipeus</w:t>
      </w:r>
      <w:r w:rsidR="000C2629">
        <w:t>e, le syndrome de Klippel-Trena</w:t>
      </w:r>
      <w:r w:rsidR="002833E9">
        <w:t>unay et le syndrome CLOVES</w:t>
      </w:r>
      <w:r w:rsidR="002A2885">
        <w:t>, où hyperactivité de la voie PI3K-AKT-mTOR se traduit cliniquement par une hypertrophie segmentaire des os, des parties molles, du tissu adipeux, et des malformations vasculaires cutanées ou profondes</w:t>
      </w:r>
      <w:r w:rsidR="00642818">
        <w:t xml:space="preserve">. </w:t>
      </w:r>
      <w:r w:rsidR="002833E9">
        <w:t xml:space="preserve">Jusqu’à présent, la chirurgie de réduction </w:t>
      </w:r>
      <w:r w:rsidR="002052DE">
        <w:t xml:space="preserve">en </w:t>
      </w:r>
      <w:r w:rsidR="002833E9">
        <w:t xml:space="preserve">était la seule option thérapeutique. </w:t>
      </w:r>
      <w:r w:rsidR="00642818">
        <w:t xml:space="preserve">L'identification </w:t>
      </w:r>
      <w:r w:rsidR="007360DF">
        <w:t xml:space="preserve">de mutations </w:t>
      </w:r>
      <w:r w:rsidR="00A64522">
        <w:t>post-zygotiques activatrices</w:t>
      </w:r>
      <w:r w:rsidR="00642818">
        <w:t xml:space="preserve"> </w:t>
      </w:r>
      <w:r w:rsidR="00641CA9">
        <w:t xml:space="preserve">de </w:t>
      </w:r>
      <w:r w:rsidR="00642818" w:rsidRPr="001D42DC">
        <w:rPr>
          <w:i/>
        </w:rPr>
        <w:t>PI3KCA</w:t>
      </w:r>
      <w:r w:rsidR="00642818">
        <w:t xml:space="preserve"> a </w:t>
      </w:r>
      <w:r w:rsidR="007360DF">
        <w:t xml:space="preserve">suggéré l’utilisation </w:t>
      </w:r>
      <w:r w:rsidR="00642818">
        <w:t>thérapeutique</w:t>
      </w:r>
      <w:r w:rsidR="007360DF">
        <w:t xml:space="preserve"> de molécules</w:t>
      </w:r>
      <w:r w:rsidR="00642818">
        <w:t xml:space="preserve"> inhibitrices de la voie de signalisation PI3K-AKT</w:t>
      </w:r>
      <w:r w:rsidR="007360DF">
        <w:t xml:space="preserve"> telles que l</w:t>
      </w:r>
      <w:r w:rsidR="00642818">
        <w:t>e Sirolimus</w:t>
      </w:r>
      <w:r w:rsidR="007360DF">
        <w:t xml:space="preserve">, </w:t>
      </w:r>
      <w:r w:rsidR="00642818">
        <w:t xml:space="preserve">un inhibiteur allostérique de mTOR, </w:t>
      </w:r>
      <w:r w:rsidR="007360DF">
        <w:t>dont le profil de</w:t>
      </w:r>
      <w:r w:rsidR="00642818">
        <w:t xml:space="preserve"> sécurité à long terme </w:t>
      </w:r>
      <w:r w:rsidR="007360DF">
        <w:t xml:space="preserve">à doses immunosuppressives a été </w:t>
      </w:r>
      <w:r w:rsidR="00642818">
        <w:t>établi</w:t>
      </w:r>
      <w:r w:rsidR="00D24B39" w:rsidRPr="00D24B39">
        <w:t xml:space="preserve"> </w:t>
      </w:r>
      <w:r w:rsidR="00D24B39">
        <w:t>dans le rejet de greffe</w:t>
      </w:r>
      <w:r w:rsidR="00642818">
        <w:t>.</w:t>
      </w:r>
    </w:p>
    <w:p w:rsidR="002A2885" w:rsidRDefault="0026773F" w:rsidP="00642818">
      <w:pPr>
        <w:jc w:val="both"/>
      </w:pPr>
      <w:r w:rsidRPr="00E56C48">
        <w:rPr>
          <w:b/>
        </w:rPr>
        <w:t>Patients et méthodes.</w:t>
      </w:r>
      <w:r>
        <w:t xml:space="preserve"> </w:t>
      </w:r>
      <w:r w:rsidR="00404591">
        <w:t>Nous avons évalué</w:t>
      </w:r>
      <w:r w:rsidR="00642818">
        <w:t xml:space="preserve"> </w:t>
      </w:r>
      <w:r w:rsidR="00404591">
        <w:t xml:space="preserve">l’efficacité et la tolérance </w:t>
      </w:r>
      <w:r w:rsidR="00642818">
        <w:t xml:space="preserve">du Sirolimus à faible dose sur la réduction de l’hypertrophie liée à </w:t>
      </w:r>
      <w:r w:rsidR="00642818" w:rsidRPr="00A742F4">
        <w:rPr>
          <w:i/>
        </w:rPr>
        <w:t>PIK3CA</w:t>
      </w:r>
      <w:r w:rsidR="00642818">
        <w:t xml:space="preserve"> </w:t>
      </w:r>
      <w:r w:rsidR="00CD4A62">
        <w:t xml:space="preserve">dans </w:t>
      </w:r>
      <w:r w:rsidR="00642818">
        <w:t>un essai pilote de phase II</w:t>
      </w:r>
      <w:r w:rsidR="009F2CE7">
        <w:t>, non randomisé</w:t>
      </w:r>
      <w:r w:rsidR="00404591">
        <w:t>,</w:t>
      </w:r>
      <w:r w:rsidR="00404591" w:rsidRPr="00404591">
        <w:t xml:space="preserve"> </w:t>
      </w:r>
      <w:r w:rsidR="00404591">
        <w:t>ouvert et à bras unique</w:t>
      </w:r>
      <w:r w:rsidR="009F2CE7">
        <w:t>.</w:t>
      </w:r>
      <w:r w:rsidR="00404591">
        <w:t xml:space="preserve"> </w:t>
      </w:r>
      <w:r w:rsidR="007B7186">
        <w:t xml:space="preserve">Au total, 35 enfants </w:t>
      </w:r>
      <w:r w:rsidR="002A2885">
        <w:t xml:space="preserve">et adultes </w:t>
      </w:r>
      <w:r w:rsidR="00EB540C">
        <w:t xml:space="preserve">de 4 à 40 ans </w:t>
      </w:r>
      <w:r w:rsidR="007B7186">
        <w:t xml:space="preserve">ayant une </w:t>
      </w:r>
      <w:r w:rsidR="00642818">
        <w:t>hypertrophie</w:t>
      </w:r>
      <w:r w:rsidR="007B7186">
        <w:t xml:space="preserve"> </w:t>
      </w:r>
      <w:r w:rsidR="00404591">
        <w:t xml:space="preserve">segmentaire avec mutation </w:t>
      </w:r>
      <w:r w:rsidR="00404591" w:rsidRPr="004E7EE1">
        <w:rPr>
          <w:i/>
        </w:rPr>
        <w:t>PIK3CA</w:t>
      </w:r>
      <w:r w:rsidR="00404591">
        <w:t xml:space="preserve"> en mosaïque </w:t>
      </w:r>
      <w:r w:rsidR="007B7186">
        <w:t xml:space="preserve">ont été </w:t>
      </w:r>
      <w:r w:rsidR="00642818">
        <w:t xml:space="preserve">inclus </w:t>
      </w:r>
      <w:r w:rsidR="007B7186">
        <w:t>dans 3 centres</w:t>
      </w:r>
      <w:r w:rsidR="00404591">
        <w:t xml:space="preserve"> : </w:t>
      </w:r>
      <w:r w:rsidR="00642818">
        <w:t>Dijon (France), Cambridge (GB) et Bethesda (USA)</w:t>
      </w:r>
      <w:r w:rsidR="007B7186">
        <w:t xml:space="preserve">. Le volume </w:t>
      </w:r>
      <w:r w:rsidR="00B24357">
        <w:t xml:space="preserve">et la composition </w:t>
      </w:r>
      <w:r w:rsidR="007B7186">
        <w:t>tissu</w:t>
      </w:r>
      <w:r w:rsidR="00404591">
        <w:t>laire</w:t>
      </w:r>
      <w:r w:rsidR="007B7186">
        <w:t xml:space="preserve"> </w:t>
      </w:r>
      <w:r w:rsidR="009F2CE7">
        <w:t>d</w:t>
      </w:r>
      <w:r w:rsidR="007B7186">
        <w:t xml:space="preserve">es sites </w:t>
      </w:r>
      <w:r w:rsidR="00404591">
        <w:t xml:space="preserve">atteints </w:t>
      </w:r>
      <w:r w:rsidR="007B7186">
        <w:t xml:space="preserve">et </w:t>
      </w:r>
      <w:r w:rsidR="00404591">
        <w:t>indemnes</w:t>
      </w:r>
      <w:r w:rsidR="007B7186">
        <w:t xml:space="preserve"> </w:t>
      </w:r>
      <w:r w:rsidR="00B24357">
        <w:t xml:space="preserve">ont </w:t>
      </w:r>
      <w:r w:rsidR="007B7186">
        <w:t>été mesuré</w:t>
      </w:r>
      <w:r w:rsidR="00B24357">
        <w:t xml:space="preserve">s </w:t>
      </w:r>
      <w:r w:rsidR="00461056">
        <w:t xml:space="preserve">par IRM volumétrique et </w:t>
      </w:r>
      <w:r w:rsidR="004415FB">
        <w:rPr>
          <w:rStyle w:val="sel"/>
        </w:rPr>
        <w:t xml:space="preserve">absorptiométrie </w:t>
      </w:r>
      <w:r w:rsidR="00B24357">
        <w:rPr>
          <w:rStyle w:val="sel"/>
        </w:rPr>
        <w:t xml:space="preserve">biphotonique </w:t>
      </w:r>
      <w:r w:rsidR="004415FB">
        <w:rPr>
          <w:rStyle w:val="sel"/>
        </w:rPr>
        <w:t>à rayons</w:t>
      </w:r>
      <w:r w:rsidR="00B24357">
        <w:rPr>
          <w:rStyle w:val="sel"/>
        </w:rPr>
        <w:t xml:space="preserve"> </w:t>
      </w:r>
      <w:r w:rsidR="004415FB">
        <w:rPr>
          <w:rStyle w:val="sel"/>
        </w:rPr>
        <w:t>X</w:t>
      </w:r>
      <w:r w:rsidR="007B7186">
        <w:t xml:space="preserve"> (DXA)</w:t>
      </w:r>
      <w:r w:rsidR="00BE1D98">
        <w:t>, lors de l’inclusion</w:t>
      </w:r>
      <w:r w:rsidR="00B24357">
        <w:t xml:space="preserve"> </w:t>
      </w:r>
      <w:r w:rsidR="00CD4A62">
        <w:t>(M0)</w:t>
      </w:r>
      <w:r w:rsidR="00BE1D98">
        <w:t>,</w:t>
      </w:r>
      <w:r w:rsidR="00CD4A62">
        <w:t xml:space="preserve"> après</w:t>
      </w:r>
      <w:r w:rsidR="00B24357">
        <w:t xml:space="preserve"> 6 mois </w:t>
      </w:r>
      <w:r w:rsidR="00CD4A62">
        <w:t xml:space="preserve">d’observation </w:t>
      </w:r>
      <w:r w:rsidR="00B24357">
        <w:t>sans traitement</w:t>
      </w:r>
      <w:r w:rsidR="00CD4A62">
        <w:t xml:space="preserve"> (M6)</w:t>
      </w:r>
      <w:r w:rsidR="00B24357">
        <w:t xml:space="preserve">, puis </w:t>
      </w:r>
      <w:r w:rsidR="00CD4A62">
        <w:t>après</w:t>
      </w:r>
      <w:r w:rsidR="00B24357">
        <w:t xml:space="preserve"> 6 mois de traitement par Sirolimus </w:t>
      </w:r>
      <w:r w:rsidR="00CD4A62">
        <w:t xml:space="preserve">(M12). </w:t>
      </w:r>
      <w:r w:rsidR="007B7186">
        <w:t xml:space="preserve">Trente sujets ont </w:t>
      </w:r>
      <w:r w:rsidR="00CD4A62">
        <w:t>reçu 6</w:t>
      </w:r>
      <w:r w:rsidR="007B7186">
        <w:t xml:space="preserve"> mois de </w:t>
      </w:r>
      <w:r w:rsidR="00642818">
        <w:t>traitement</w:t>
      </w:r>
      <w:r w:rsidR="00EB540C">
        <w:t xml:space="preserve">, à des doses adaptées </w:t>
      </w:r>
      <w:r w:rsidR="002A2885">
        <w:t xml:space="preserve">pour obtenir </w:t>
      </w:r>
      <w:r w:rsidR="00EB540C">
        <w:t>des taux sériques résiduels de 2 à 6 ng/mL</w:t>
      </w:r>
      <w:r w:rsidR="00BE1D98">
        <w:t xml:space="preserve">. </w:t>
      </w:r>
    </w:p>
    <w:p w:rsidR="00461056" w:rsidRDefault="0026773F" w:rsidP="00642818">
      <w:pPr>
        <w:jc w:val="both"/>
      </w:pPr>
      <w:r w:rsidRPr="00E56C48">
        <w:rPr>
          <w:b/>
        </w:rPr>
        <w:t>Résultats.</w:t>
      </w:r>
      <w:r>
        <w:t xml:space="preserve"> </w:t>
      </w:r>
      <w:r w:rsidR="00BE1D98">
        <w:t>Nous avons observé u</w:t>
      </w:r>
      <w:r w:rsidR="007B7186">
        <w:t>ne réduction significative</w:t>
      </w:r>
      <w:r w:rsidR="00461056">
        <w:t xml:space="preserve"> de -7,0% (</w:t>
      </w:r>
      <w:r w:rsidR="004415FB">
        <w:t xml:space="preserve">p = 0,04) </w:t>
      </w:r>
      <w:r w:rsidR="007B7186">
        <w:t xml:space="preserve">du volume </w:t>
      </w:r>
      <w:r w:rsidR="00BE1D98">
        <w:t xml:space="preserve">tissulaire </w:t>
      </w:r>
      <w:r w:rsidR="007B7186">
        <w:t xml:space="preserve">moyen </w:t>
      </w:r>
      <w:r w:rsidR="00BE1D98">
        <w:t xml:space="preserve">des sites atteints </w:t>
      </w:r>
      <w:r w:rsidR="007B7186">
        <w:t xml:space="preserve">mais pas </w:t>
      </w:r>
      <w:r w:rsidR="001D59F9">
        <w:t>d</w:t>
      </w:r>
      <w:r w:rsidR="007B7186">
        <w:t xml:space="preserve">es sites </w:t>
      </w:r>
      <w:r w:rsidR="00BE1D98">
        <w:t>indemnes</w:t>
      </w:r>
      <w:r w:rsidR="007B7186">
        <w:t xml:space="preserve"> (-2,8% p = 0,48) (n = 23). </w:t>
      </w:r>
      <w:r w:rsidR="008A32D1">
        <w:t>Certai</w:t>
      </w:r>
      <w:r w:rsidR="00351142">
        <w:t xml:space="preserve">ns patients ont constaté une réduction des douleurs et des saignements. </w:t>
      </w:r>
      <w:r w:rsidR="007B7186">
        <w:t xml:space="preserve">Cependant, 28/35 </w:t>
      </w:r>
      <w:r w:rsidR="00351142">
        <w:t xml:space="preserve">d’entre eux </w:t>
      </w:r>
      <w:r>
        <w:t xml:space="preserve">(80%) </w:t>
      </w:r>
      <w:r w:rsidR="004415FB">
        <w:t>ont présenté</w:t>
      </w:r>
      <w:r w:rsidR="007B7186">
        <w:t xml:space="preserve"> au mo</w:t>
      </w:r>
      <w:r w:rsidR="004415FB">
        <w:t>ins un événement indésirable (EI</w:t>
      </w:r>
      <w:r w:rsidR="007B7186">
        <w:t xml:space="preserve">) </w:t>
      </w:r>
      <w:r w:rsidR="00EB540C">
        <w:t xml:space="preserve">considéré comme </w:t>
      </w:r>
      <w:r w:rsidR="007B7186">
        <w:t xml:space="preserve">lié au traitement, dont 37% étaient de </w:t>
      </w:r>
      <w:r w:rsidR="00642818">
        <w:t>grade</w:t>
      </w:r>
      <w:r w:rsidR="004415FB">
        <w:t xml:space="preserve"> 3 ou 4 (NCI-CTCAE)</w:t>
      </w:r>
      <w:r w:rsidR="000C2629">
        <w:t xml:space="preserve">. Ils ont </w:t>
      </w:r>
      <w:r w:rsidR="00461056">
        <w:t>entrainé la sortie de l’étude de</w:t>
      </w:r>
      <w:r w:rsidR="007B7186">
        <w:t xml:space="preserve"> 5</w:t>
      </w:r>
      <w:r w:rsidR="000C2629">
        <w:t xml:space="preserve"> patients </w:t>
      </w:r>
      <w:r w:rsidR="007B7186">
        <w:t xml:space="preserve">(14%). </w:t>
      </w:r>
    </w:p>
    <w:p w:rsidR="009828AE" w:rsidRDefault="003A6984" w:rsidP="00662E38">
      <w:pPr>
        <w:jc w:val="both"/>
      </w:pPr>
      <w:r w:rsidRPr="00E56C48">
        <w:rPr>
          <w:b/>
        </w:rPr>
        <w:t>Discussion.</w:t>
      </w:r>
      <w:r>
        <w:t xml:space="preserve"> Même si n</w:t>
      </w:r>
      <w:r w:rsidR="00351142">
        <w:t xml:space="preserve">ous avons constaté </w:t>
      </w:r>
      <w:r>
        <w:t xml:space="preserve">sous sirolimus </w:t>
      </w:r>
      <w:r w:rsidR="00351142">
        <w:t>une réduction minime</w:t>
      </w:r>
      <w:r w:rsidR="00922C52">
        <w:t xml:space="preserve"> </w:t>
      </w:r>
      <w:r w:rsidR="00351142">
        <w:t>de l’hypertrop</w:t>
      </w:r>
      <w:r w:rsidR="00662E38">
        <w:t xml:space="preserve">hie </w:t>
      </w:r>
      <w:r w:rsidR="00922C52">
        <w:t xml:space="preserve">à 6 mois, </w:t>
      </w:r>
      <w:r>
        <w:t>avec une</w:t>
      </w:r>
      <w:r w:rsidR="00351142">
        <w:t xml:space="preserve"> tolérance satisfaisant</w:t>
      </w:r>
      <w:r w:rsidR="00662E38">
        <w:t xml:space="preserve">e chez la plupart des patients, </w:t>
      </w:r>
      <w:r>
        <w:t xml:space="preserve">des </w:t>
      </w:r>
      <w:r w:rsidR="00662E38">
        <w:t xml:space="preserve">effets indésirables notables (thrombose, saignement, fièvre) </w:t>
      </w:r>
      <w:r>
        <w:t xml:space="preserve">sont survenus fréquemment, </w:t>
      </w:r>
      <w:r w:rsidR="00662E38">
        <w:t>sans qu’on puisse déterminer</w:t>
      </w:r>
      <w:r w:rsidR="008224C4">
        <w:t xml:space="preserve"> d</w:t>
      </w:r>
      <w:r w:rsidR="00662E38">
        <w:t>es facteurs de risque</w:t>
      </w:r>
      <w:r w:rsidRPr="003A6984">
        <w:t xml:space="preserve"> </w:t>
      </w:r>
      <w:r>
        <w:t>a priori</w:t>
      </w:r>
      <w:r w:rsidR="00662E38">
        <w:t>. L’</w:t>
      </w:r>
      <w:r w:rsidR="007B7186">
        <w:t>évaluation</w:t>
      </w:r>
      <w:r w:rsidR="00662E38">
        <w:t xml:space="preserve"> individu</w:t>
      </w:r>
      <w:r w:rsidR="00A64522">
        <w:t>elle</w:t>
      </w:r>
      <w:r w:rsidR="00662E38">
        <w:t xml:space="preserve"> du rapport</w:t>
      </w:r>
      <w:r w:rsidR="007B7186">
        <w:t xml:space="preserve"> </w:t>
      </w:r>
      <w:r w:rsidR="001D59F9">
        <w:t xml:space="preserve">bénéfice/risque </w:t>
      </w:r>
      <w:r w:rsidR="00662E38">
        <w:t>avant trait</w:t>
      </w:r>
      <w:r w:rsidR="008224C4">
        <w:t>e</w:t>
      </w:r>
      <w:r w:rsidR="00662E38">
        <w:t>ment est donc difficile</w:t>
      </w:r>
      <w:r w:rsidR="008224C4">
        <w:t>, mais le sirolimus peut constituer une option thérapeutique du PROS, qui justifierait d’être mieux évaluée à plus long terme.</w:t>
      </w:r>
      <w:r w:rsidR="00461056">
        <w:t xml:space="preserve"> </w:t>
      </w:r>
      <w:r w:rsidR="00843456">
        <w:t xml:space="preserve">Toutefois </w:t>
      </w:r>
      <w:r w:rsidR="00922C52">
        <w:t xml:space="preserve">d’autres alternatives thérapeutiques mieux ciblées </w:t>
      </w:r>
      <w:r w:rsidR="00A64522">
        <w:t>se développent. A</w:t>
      </w:r>
      <w:r w:rsidR="00922C52">
        <w:t>insi, le taselisib</w:t>
      </w:r>
      <w:r w:rsidR="00A64522">
        <w:t>,</w:t>
      </w:r>
      <w:r w:rsidR="00922C52">
        <w:t xml:space="preserve"> inhibiteur spécifique de la sous-unité catalytique alpha de la PI3-kinase</w:t>
      </w:r>
      <w:r w:rsidR="00843456">
        <w:t>,</w:t>
      </w:r>
      <w:r w:rsidR="00922C52">
        <w:t xml:space="preserve"> est</w:t>
      </w:r>
      <w:r w:rsidR="00843456">
        <w:t xml:space="preserve"> en cours d’évaluation dans u</w:t>
      </w:r>
      <w:r w:rsidR="00461056">
        <w:t xml:space="preserve">n essai </w:t>
      </w:r>
      <w:r w:rsidR="00843456">
        <w:t>récemment</w:t>
      </w:r>
      <w:r w:rsidR="00461056">
        <w:t xml:space="preserve"> débuté chez </w:t>
      </w:r>
      <w:r w:rsidR="00843456">
        <w:t>d</w:t>
      </w:r>
      <w:r w:rsidR="00461056">
        <w:t>es adultes</w:t>
      </w:r>
      <w:r w:rsidR="00843456">
        <w:t>.</w:t>
      </w:r>
    </w:p>
    <w:sectPr w:rsidR="009828AE" w:rsidSect="00B1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trackRevisions/>
  <w:doNotTrackMoves/>
  <w:defaultTabStop w:val="708"/>
  <w:hyphenationZone w:val="425"/>
  <w:characterSpacingControl w:val="doNotCompress"/>
  <w:compat/>
  <w:rsids>
    <w:rsidRoot w:val="00E515C7"/>
    <w:rsid w:val="00012018"/>
    <w:rsid w:val="000722F7"/>
    <w:rsid w:val="000C2629"/>
    <w:rsid w:val="000F31FB"/>
    <w:rsid w:val="001A0A6F"/>
    <w:rsid w:val="001D42DC"/>
    <w:rsid w:val="001D59F9"/>
    <w:rsid w:val="002052DE"/>
    <w:rsid w:val="00205968"/>
    <w:rsid w:val="00265DBA"/>
    <w:rsid w:val="0026773F"/>
    <w:rsid w:val="002833E9"/>
    <w:rsid w:val="002A2885"/>
    <w:rsid w:val="002C15A1"/>
    <w:rsid w:val="002E75DA"/>
    <w:rsid w:val="00351142"/>
    <w:rsid w:val="003A6984"/>
    <w:rsid w:val="00404591"/>
    <w:rsid w:val="004415FB"/>
    <w:rsid w:val="00461056"/>
    <w:rsid w:val="004E7EE1"/>
    <w:rsid w:val="00592194"/>
    <w:rsid w:val="00641CA9"/>
    <w:rsid w:val="00641D75"/>
    <w:rsid w:val="00642818"/>
    <w:rsid w:val="00662B4B"/>
    <w:rsid w:val="00662E38"/>
    <w:rsid w:val="00710454"/>
    <w:rsid w:val="007132DA"/>
    <w:rsid w:val="0072711C"/>
    <w:rsid w:val="007360DF"/>
    <w:rsid w:val="007B7186"/>
    <w:rsid w:val="0080625E"/>
    <w:rsid w:val="008224C4"/>
    <w:rsid w:val="0082313F"/>
    <w:rsid w:val="00843456"/>
    <w:rsid w:val="008679D3"/>
    <w:rsid w:val="008A32D1"/>
    <w:rsid w:val="00922C52"/>
    <w:rsid w:val="009828AE"/>
    <w:rsid w:val="009F2CE7"/>
    <w:rsid w:val="009F3C83"/>
    <w:rsid w:val="00A64522"/>
    <w:rsid w:val="00A742F4"/>
    <w:rsid w:val="00B1071D"/>
    <w:rsid w:val="00B24357"/>
    <w:rsid w:val="00B84A10"/>
    <w:rsid w:val="00BE1D98"/>
    <w:rsid w:val="00BE6A49"/>
    <w:rsid w:val="00BE77AE"/>
    <w:rsid w:val="00CD4A62"/>
    <w:rsid w:val="00D24B39"/>
    <w:rsid w:val="00DB5B41"/>
    <w:rsid w:val="00E305A6"/>
    <w:rsid w:val="00E515C7"/>
    <w:rsid w:val="00E56C48"/>
    <w:rsid w:val="00E81397"/>
    <w:rsid w:val="00EB540C"/>
    <w:rsid w:val="00FB01E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1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sel">
    <w:name w:val="sel"/>
    <w:basedOn w:val="Policepardfaut"/>
    <w:rsid w:val="00441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23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3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1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l">
    <w:name w:val="sel"/>
    <w:basedOn w:val="Policepardfaut"/>
    <w:rsid w:val="00441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23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3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Essai thérapeutique pilote non randomisé pour le traitement par Sirolimus de syndromes hypertrophiques reliés à PIK3CA – PROMISE</vt:lpstr>
    </vt:vector>
  </TitlesOfParts>
  <Company>CHU-DIJON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 thérapeutique pilote non randomisé pour le traitement par Sirolimus de syndromes hypertrophiques reliés à PIK3CA – PROMISE</dc:title>
  <dc:creator>ARGAD</dc:creator>
  <cp:lastModifiedBy>Isabelle ADO</cp:lastModifiedBy>
  <cp:revision>2</cp:revision>
  <dcterms:created xsi:type="dcterms:W3CDTF">2017-10-24T07:53:00Z</dcterms:created>
  <dcterms:modified xsi:type="dcterms:W3CDTF">2017-10-24T07:53:00Z</dcterms:modified>
</cp:coreProperties>
</file>