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5C" w:rsidRPr="007B2F5C" w:rsidRDefault="007B2F5C" w:rsidP="007B2F5C">
      <w:pPr>
        <w:pStyle w:val="Titre"/>
        <w:ind w:left="-1134" w:right="-914"/>
        <w:jc w:val="center"/>
        <w:rPr>
          <w:rStyle w:val="Accentuation"/>
          <w:rFonts w:ascii="Times" w:hAnsi="Times"/>
          <w:i w:val="0"/>
          <w:iCs w:val="0"/>
          <w:color w:val="auto"/>
          <w:spacing w:val="0"/>
          <w:kern w:val="0"/>
          <w:sz w:val="24"/>
          <w:szCs w:val="24"/>
          <w:lang w:eastAsia="fr-FR"/>
        </w:rPr>
      </w:pPr>
      <w:r>
        <w:rPr>
          <w:rFonts w:ascii="Times" w:hAnsi="Times"/>
          <w:sz w:val="24"/>
          <w:szCs w:val="24"/>
        </w:rPr>
        <w:t>L’ARAIGNEE SUR LE BANC DES ACCUSES</w:t>
      </w:r>
    </w:p>
    <w:p w:rsidR="009C4E0E" w:rsidRPr="00080F6B" w:rsidRDefault="009C4E0E" w:rsidP="009C4E0E">
      <w:pPr>
        <w:ind w:left="-1134" w:right="-914"/>
        <w:rPr>
          <w:rStyle w:val="Titredulivre"/>
          <w:rFonts w:ascii="Cambria" w:hAnsi="Cambria"/>
          <w:color w:val="17365D"/>
          <w:kern w:val="28"/>
          <w:sz w:val="52"/>
          <w:szCs w:val="52"/>
        </w:rPr>
      </w:pPr>
      <w:r w:rsidRPr="000546EF">
        <w:rPr>
          <w:rStyle w:val="Titredulivre"/>
          <w:rFonts w:ascii="Times" w:hAnsi="Times"/>
          <w:sz w:val="24"/>
          <w:szCs w:val="24"/>
        </w:rPr>
        <w:t>M. RICHARD</w:t>
      </w:r>
      <w:r w:rsidRPr="000546EF">
        <w:rPr>
          <w:rStyle w:val="Titredulivre"/>
          <w:rFonts w:ascii="Times" w:hAnsi="Times"/>
          <w:sz w:val="24"/>
          <w:szCs w:val="24"/>
          <w:vertAlign w:val="superscript"/>
        </w:rPr>
        <w:t>1</w:t>
      </w:r>
      <w:r w:rsidRPr="000546EF">
        <w:rPr>
          <w:rStyle w:val="Titredulivre"/>
          <w:rFonts w:ascii="Times" w:hAnsi="Times"/>
          <w:sz w:val="24"/>
          <w:szCs w:val="24"/>
        </w:rPr>
        <w:t xml:space="preserve">, </w:t>
      </w:r>
      <w:r>
        <w:rPr>
          <w:rStyle w:val="Titredulivre"/>
          <w:rFonts w:ascii="Times" w:hAnsi="Times"/>
          <w:sz w:val="24"/>
          <w:szCs w:val="24"/>
        </w:rPr>
        <w:t>C. LEAUTE-LABREZE</w:t>
      </w:r>
      <w:r w:rsidRPr="00F471DD">
        <w:rPr>
          <w:rStyle w:val="Titredulivre"/>
          <w:rFonts w:ascii="Times" w:hAnsi="Times"/>
          <w:sz w:val="24"/>
          <w:szCs w:val="24"/>
          <w:vertAlign w:val="superscript"/>
        </w:rPr>
        <w:t>1</w:t>
      </w:r>
      <w:r w:rsidRPr="009C4E0E">
        <w:rPr>
          <w:rStyle w:val="Titredulivre"/>
          <w:rFonts w:ascii="Times" w:hAnsi="Times"/>
          <w:sz w:val="24"/>
          <w:szCs w:val="24"/>
        </w:rPr>
        <w:t>,</w:t>
      </w:r>
      <w:r>
        <w:rPr>
          <w:rStyle w:val="Titredulivre"/>
          <w:rFonts w:ascii="Times" w:hAnsi="Times"/>
          <w:sz w:val="24"/>
          <w:szCs w:val="24"/>
          <w:vertAlign w:val="superscript"/>
        </w:rPr>
        <w:t xml:space="preserve"> </w:t>
      </w:r>
      <w:r w:rsidRPr="000546EF">
        <w:rPr>
          <w:rStyle w:val="Titredulivre"/>
          <w:rFonts w:ascii="Times" w:hAnsi="Times"/>
          <w:sz w:val="24"/>
          <w:szCs w:val="24"/>
        </w:rPr>
        <w:t>C</w:t>
      </w:r>
      <w:r>
        <w:rPr>
          <w:rStyle w:val="Titredulivre"/>
          <w:rFonts w:ascii="Times" w:hAnsi="Times"/>
          <w:sz w:val="24"/>
          <w:szCs w:val="24"/>
        </w:rPr>
        <w:t xml:space="preserve">. </w:t>
      </w:r>
      <w:r w:rsidRPr="00080F6B">
        <w:rPr>
          <w:rStyle w:val="Titredulivre"/>
          <w:rFonts w:ascii="Times" w:hAnsi="Times"/>
          <w:sz w:val="24"/>
          <w:szCs w:val="24"/>
          <w:lang w:val="en-US"/>
        </w:rPr>
        <w:t>JUBERT</w:t>
      </w:r>
      <w:r w:rsidRPr="00080F6B">
        <w:rPr>
          <w:rStyle w:val="Titredulivre"/>
          <w:rFonts w:ascii="Times" w:hAnsi="Times"/>
          <w:sz w:val="24"/>
          <w:szCs w:val="24"/>
          <w:vertAlign w:val="superscript"/>
          <w:lang w:val="en-US"/>
        </w:rPr>
        <w:t>2</w:t>
      </w:r>
      <w:r w:rsidRPr="00080F6B">
        <w:rPr>
          <w:rStyle w:val="Titredulivre"/>
          <w:rFonts w:ascii="Times" w:hAnsi="Times"/>
          <w:sz w:val="24"/>
          <w:szCs w:val="24"/>
          <w:lang w:val="en-US"/>
        </w:rPr>
        <w:t>, G. PLAT</w:t>
      </w:r>
      <w:r w:rsidRPr="00080F6B">
        <w:rPr>
          <w:rStyle w:val="Titredulivre"/>
          <w:rFonts w:ascii="Times" w:hAnsi="Times"/>
          <w:sz w:val="24"/>
          <w:szCs w:val="24"/>
          <w:vertAlign w:val="superscript"/>
          <w:lang w:val="en-US"/>
        </w:rPr>
        <w:t>3</w:t>
      </w:r>
      <w:r w:rsidRPr="00080F6B">
        <w:rPr>
          <w:rStyle w:val="Titredulivre"/>
          <w:rFonts w:ascii="Times" w:hAnsi="Times"/>
          <w:sz w:val="24"/>
          <w:szCs w:val="24"/>
          <w:lang w:val="en-US"/>
        </w:rPr>
        <w:t>, F.</w:t>
      </w:r>
      <w:r>
        <w:rPr>
          <w:rStyle w:val="Titredulivre"/>
          <w:rFonts w:ascii="Times" w:hAnsi="Times"/>
          <w:sz w:val="24"/>
          <w:szCs w:val="24"/>
          <w:lang w:val="en-US"/>
        </w:rPr>
        <w:t xml:space="preserve"> </w:t>
      </w:r>
      <w:r w:rsidRPr="00080F6B">
        <w:rPr>
          <w:rStyle w:val="Titredulivre"/>
          <w:rFonts w:ascii="Times" w:hAnsi="Times"/>
          <w:sz w:val="24"/>
          <w:szCs w:val="24"/>
          <w:lang w:val="en-US"/>
        </w:rPr>
        <w:t>BORALEVI</w:t>
      </w:r>
      <w:r w:rsidRPr="00080F6B">
        <w:rPr>
          <w:rStyle w:val="Titredulivre"/>
          <w:rFonts w:ascii="Times" w:hAnsi="Times"/>
          <w:sz w:val="24"/>
          <w:szCs w:val="24"/>
          <w:vertAlign w:val="superscript"/>
          <w:lang w:val="en-US"/>
        </w:rPr>
        <w:t>1</w:t>
      </w:r>
    </w:p>
    <w:p w:rsidR="009C4E0E" w:rsidRPr="00F471DD" w:rsidRDefault="009C4E0E" w:rsidP="009C4E0E">
      <w:pPr>
        <w:pStyle w:val="Sansinterligne"/>
        <w:ind w:left="-1134"/>
        <w:jc w:val="both"/>
        <w:rPr>
          <w:rStyle w:val="Accentuation"/>
        </w:rPr>
      </w:pPr>
      <w:r w:rsidRPr="00886BFC">
        <w:rPr>
          <w:rStyle w:val="Accentuation"/>
          <w:vertAlign w:val="superscript"/>
        </w:rPr>
        <w:t>1</w:t>
      </w:r>
      <w:r w:rsidRPr="00F471DD">
        <w:rPr>
          <w:rStyle w:val="Accentuation"/>
        </w:rPr>
        <w:t xml:space="preserve"> </w:t>
      </w:r>
      <w:r>
        <w:rPr>
          <w:rStyle w:val="Accentuation"/>
        </w:rPr>
        <w:t xml:space="preserve">Unité de dermato-pédiatrie, </w:t>
      </w:r>
      <w:r w:rsidRPr="00F471DD">
        <w:rPr>
          <w:rStyle w:val="Accentuation"/>
        </w:rPr>
        <w:t>Hôpital Pellegrin, CHU de Bordeaux</w:t>
      </w:r>
      <w:r>
        <w:rPr>
          <w:rStyle w:val="Accentuation"/>
        </w:rPr>
        <w:t>, France</w:t>
      </w:r>
    </w:p>
    <w:p w:rsidR="009C4E0E" w:rsidRPr="00F471DD" w:rsidRDefault="009C4E0E" w:rsidP="009C4E0E">
      <w:pPr>
        <w:pStyle w:val="Sansinterligne"/>
        <w:ind w:left="-1134"/>
        <w:jc w:val="both"/>
        <w:rPr>
          <w:rStyle w:val="Accentuation"/>
        </w:rPr>
      </w:pPr>
      <w:r w:rsidRPr="00886BFC">
        <w:rPr>
          <w:rStyle w:val="Accentuation"/>
          <w:vertAlign w:val="superscript"/>
        </w:rPr>
        <w:t>2</w:t>
      </w:r>
      <w:r w:rsidRPr="00F471DD">
        <w:rPr>
          <w:rStyle w:val="Accentuation"/>
        </w:rPr>
        <w:t xml:space="preserve">  </w:t>
      </w:r>
      <w:r>
        <w:rPr>
          <w:rStyle w:val="Accentuation"/>
        </w:rPr>
        <w:t xml:space="preserve">Service d’hémato-oncologie pédiatrique, </w:t>
      </w:r>
      <w:r w:rsidRPr="00F471DD">
        <w:rPr>
          <w:rStyle w:val="Accentuation"/>
        </w:rPr>
        <w:t>Hôpital Pellegrin, CHU de Bordeaux</w:t>
      </w:r>
      <w:r>
        <w:rPr>
          <w:rStyle w:val="Accentuation"/>
        </w:rPr>
        <w:t>, France</w:t>
      </w:r>
    </w:p>
    <w:p w:rsidR="009C4E0E" w:rsidRDefault="009C4E0E" w:rsidP="009C4E0E">
      <w:pPr>
        <w:pStyle w:val="Sansinterligne"/>
        <w:ind w:left="-1134"/>
        <w:jc w:val="both"/>
        <w:rPr>
          <w:rStyle w:val="Accentuation"/>
        </w:rPr>
      </w:pPr>
      <w:r w:rsidRPr="00886BFC">
        <w:rPr>
          <w:rStyle w:val="Accentuation"/>
          <w:vertAlign w:val="superscript"/>
        </w:rPr>
        <w:t>3</w:t>
      </w:r>
      <w:r w:rsidRPr="00886BFC">
        <w:rPr>
          <w:rStyle w:val="Accentuation"/>
        </w:rPr>
        <w:t xml:space="preserve"> </w:t>
      </w:r>
      <w:r w:rsidRPr="00F471DD">
        <w:rPr>
          <w:rStyle w:val="Accentuation"/>
        </w:rPr>
        <w:t xml:space="preserve">Service </w:t>
      </w:r>
      <w:r>
        <w:rPr>
          <w:rStyle w:val="Accentuation"/>
        </w:rPr>
        <w:t>d’hémato-oncologie pédiatrique, Hôpital Purpan, CHU de Toulouse, France</w:t>
      </w:r>
    </w:p>
    <w:p w:rsidR="009C4E0E" w:rsidRDefault="009C4E0E" w:rsidP="007B2F5C">
      <w:pPr>
        <w:ind w:left="-1134" w:right="-914"/>
        <w:jc w:val="both"/>
        <w:rPr>
          <w:rFonts w:ascii="Times" w:hAnsi="Times"/>
          <w:b/>
          <w:i/>
          <w:sz w:val="24"/>
          <w:szCs w:val="24"/>
        </w:rPr>
      </w:pPr>
    </w:p>
    <w:p w:rsidR="007B2F5C" w:rsidRPr="00095413" w:rsidRDefault="007B2F5C" w:rsidP="007B2F5C">
      <w:pPr>
        <w:ind w:left="-1134" w:right="-914"/>
        <w:jc w:val="both"/>
        <w:rPr>
          <w:rFonts w:ascii="Times" w:hAnsi="Times"/>
          <w:sz w:val="24"/>
          <w:szCs w:val="24"/>
        </w:rPr>
      </w:pPr>
      <w:r w:rsidRPr="001642E1">
        <w:rPr>
          <w:rFonts w:ascii="Times" w:hAnsi="Times"/>
          <w:b/>
          <w:i/>
          <w:sz w:val="24"/>
          <w:szCs w:val="24"/>
        </w:rPr>
        <w:t>Introduction</w:t>
      </w:r>
      <w:r>
        <w:rPr>
          <w:rFonts w:ascii="Times" w:hAnsi="Times"/>
          <w:b/>
          <w:i/>
          <w:sz w:val="24"/>
          <w:szCs w:val="24"/>
        </w:rPr>
        <w:t xml:space="preserve"> </w:t>
      </w:r>
      <w:r w:rsidRPr="001642E1">
        <w:rPr>
          <w:rFonts w:ascii="Times" w:hAnsi="Times"/>
          <w:i/>
          <w:sz w:val="24"/>
          <w:szCs w:val="24"/>
        </w:rPr>
        <w:t>:</w:t>
      </w:r>
      <w:r w:rsidRPr="001642E1">
        <w:rPr>
          <w:rFonts w:ascii="Times" w:hAnsi="Times"/>
          <w:sz w:val="24"/>
          <w:szCs w:val="24"/>
        </w:rPr>
        <w:t xml:space="preserve"> </w:t>
      </w:r>
      <w:r>
        <w:rPr>
          <w:rFonts w:ascii="Times" w:hAnsi="Times"/>
          <w:sz w:val="24"/>
          <w:szCs w:val="24"/>
        </w:rPr>
        <w:t>Nous rapportons un cas de mucormycose cutanée chez un enfant ayant une aplasie médullaire, dont l’aspect nécrotique initial avait fait évoquer un arachnïdisme.</w:t>
      </w:r>
    </w:p>
    <w:p w:rsidR="007B2F5C" w:rsidRDefault="007B2F5C" w:rsidP="007B2F5C">
      <w:pPr>
        <w:ind w:left="-1134" w:right="-914"/>
        <w:jc w:val="both"/>
        <w:rPr>
          <w:rFonts w:ascii="Times" w:hAnsi="Times"/>
          <w:sz w:val="24"/>
          <w:szCs w:val="24"/>
        </w:rPr>
      </w:pPr>
      <w:r>
        <w:rPr>
          <w:rFonts w:ascii="Times" w:hAnsi="Times"/>
          <w:b/>
          <w:i/>
          <w:sz w:val="24"/>
          <w:szCs w:val="24"/>
        </w:rPr>
        <w:t xml:space="preserve">Cas </w:t>
      </w:r>
      <w:r w:rsidRPr="001642E1">
        <w:rPr>
          <w:rFonts w:ascii="Times" w:hAnsi="Times"/>
          <w:b/>
          <w:sz w:val="24"/>
          <w:szCs w:val="24"/>
        </w:rPr>
        <w:t>:</w:t>
      </w:r>
      <w:r w:rsidRPr="001642E1">
        <w:rPr>
          <w:rFonts w:ascii="Times" w:hAnsi="Times"/>
          <w:sz w:val="24"/>
          <w:szCs w:val="24"/>
        </w:rPr>
        <w:t xml:space="preserve"> </w:t>
      </w:r>
      <w:r w:rsidRPr="00F67A68">
        <w:rPr>
          <w:rFonts w:ascii="Times" w:hAnsi="Times"/>
          <w:sz w:val="24"/>
          <w:szCs w:val="24"/>
        </w:rPr>
        <w:t>Un enfant de 12 ans</w:t>
      </w:r>
      <w:r>
        <w:rPr>
          <w:rFonts w:ascii="Times" w:hAnsi="Times"/>
          <w:sz w:val="24"/>
          <w:szCs w:val="24"/>
        </w:rPr>
        <w:t>, en attente d’allogreffe</w:t>
      </w:r>
      <w:r w:rsidRPr="00F67A68">
        <w:rPr>
          <w:rFonts w:ascii="Times" w:hAnsi="Times"/>
          <w:sz w:val="24"/>
          <w:szCs w:val="24"/>
        </w:rPr>
        <w:t xml:space="preserve"> de moe</w:t>
      </w:r>
      <w:r>
        <w:rPr>
          <w:rFonts w:ascii="Times" w:hAnsi="Times"/>
          <w:sz w:val="24"/>
          <w:szCs w:val="24"/>
        </w:rPr>
        <w:t xml:space="preserve">lle pour aplasie médullaire avait présenté </w:t>
      </w:r>
      <w:r w:rsidRPr="00F67A68">
        <w:rPr>
          <w:rFonts w:ascii="Times" w:hAnsi="Times"/>
          <w:sz w:val="24"/>
          <w:szCs w:val="24"/>
        </w:rPr>
        <w:t xml:space="preserve">une </w:t>
      </w:r>
      <w:r>
        <w:rPr>
          <w:rFonts w:ascii="Times" w:hAnsi="Times"/>
          <w:sz w:val="24"/>
          <w:szCs w:val="24"/>
        </w:rPr>
        <w:t>dermo-hypodermite</w:t>
      </w:r>
      <w:r w:rsidRPr="00F67A68">
        <w:rPr>
          <w:rFonts w:ascii="Times" w:hAnsi="Times"/>
          <w:sz w:val="24"/>
          <w:szCs w:val="24"/>
        </w:rPr>
        <w:t xml:space="preserve"> du coude</w:t>
      </w:r>
      <w:r>
        <w:rPr>
          <w:rFonts w:ascii="Times" w:hAnsi="Times"/>
          <w:sz w:val="24"/>
          <w:szCs w:val="24"/>
        </w:rPr>
        <w:t>.</w:t>
      </w:r>
      <w:r w:rsidRPr="00F67A68">
        <w:rPr>
          <w:rFonts w:ascii="Times" w:hAnsi="Times"/>
          <w:sz w:val="24"/>
          <w:szCs w:val="24"/>
        </w:rPr>
        <w:t xml:space="preserve"> </w:t>
      </w:r>
      <w:r>
        <w:rPr>
          <w:rFonts w:ascii="Times" w:hAnsi="Times"/>
          <w:sz w:val="24"/>
          <w:szCs w:val="24"/>
        </w:rPr>
        <w:t xml:space="preserve">L’interrogatoire faisait suspecter une morsure d’araignée du fait de la présence initiale de 2 points d’impacts. Un traitement par </w:t>
      </w:r>
      <w:r w:rsidR="009C4E0E">
        <w:rPr>
          <w:rFonts w:ascii="Times" w:hAnsi="Times"/>
          <w:sz w:val="24"/>
          <w:szCs w:val="24"/>
        </w:rPr>
        <w:t>a</w:t>
      </w:r>
      <w:r w:rsidRPr="00197C1A">
        <w:rPr>
          <w:rFonts w:ascii="Times" w:hAnsi="Times"/>
          <w:sz w:val="24"/>
          <w:szCs w:val="24"/>
        </w:rPr>
        <w:t>moxicilline / acide-clavulanique et facteurs de croissance</w:t>
      </w:r>
      <w:r>
        <w:rPr>
          <w:rFonts w:ascii="Times" w:hAnsi="Times"/>
          <w:sz w:val="24"/>
          <w:szCs w:val="24"/>
        </w:rPr>
        <w:t xml:space="preserve"> granulocytaires l’avait un peu amélioré</w:t>
      </w:r>
      <w:r w:rsidRPr="00197C1A">
        <w:rPr>
          <w:rFonts w:ascii="Times" w:hAnsi="Times"/>
          <w:sz w:val="24"/>
          <w:szCs w:val="24"/>
        </w:rPr>
        <w:t>.</w:t>
      </w:r>
      <w:r>
        <w:rPr>
          <w:rFonts w:ascii="Times" w:hAnsi="Times"/>
          <w:sz w:val="24"/>
          <w:szCs w:val="24"/>
        </w:rPr>
        <w:t xml:space="preserve"> En post-greffe, la nécrose s’étendait rapidement malgré une antibiothérapie large </w:t>
      </w:r>
      <w:r w:rsidR="009C4E0E">
        <w:rPr>
          <w:rFonts w:ascii="Times" w:hAnsi="Times"/>
          <w:sz w:val="24"/>
          <w:szCs w:val="24"/>
        </w:rPr>
        <w:t>spectre et la c</w:t>
      </w:r>
      <w:r w:rsidRPr="00197C1A">
        <w:rPr>
          <w:rFonts w:ascii="Times" w:hAnsi="Times"/>
          <w:sz w:val="24"/>
          <w:szCs w:val="24"/>
        </w:rPr>
        <w:t>aspofungine.</w:t>
      </w:r>
      <w:r>
        <w:rPr>
          <w:rFonts w:ascii="Times" w:hAnsi="Times"/>
          <w:sz w:val="24"/>
          <w:szCs w:val="24"/>
        </w:rPr>
        <w:t xml:space="preserve"> Les hémocultures et l’antigénémie aspergillaire étaient négatives. Une culture fongique de pus revenait positive à Rhizopus oryzae posant le diagnostic de mucormycose. La PCR mucorale sanguine était positive mais le TDM TAP ne montrait pas d’attei</w:t>
      </w:r>
      <w:r w:rsidR="009C4E0E">
        <w:rPr>
          <w:rFonts w:ascii="Times" w:hAnsi="Times"/>
          <w:sz w:val="24"/>
          <w:szCs w:val="24"/>
        </w:rPr>
        <w:t>nte profonde. Malgré l’ajout d’a</w:t>
      </w:r>
      <w:r>
        <w:rPr>
          <w:rFonts w:ascii="Times" w:hAnsi="Times"/>
          <w:sz w:val="24"/>
          <w:szCs w:val="24"/>
        </w:rPr>
        <w:t>mphotéricine B liposomale et une large détersion chirurgicale l’infection locale progressait. Du fait d’une insu</w:t>
      </w:r>
      <w:r w:rsidR="009C4E0E">
        <w:rPr>
          <w:rFonts w:ascii="Times" w:hAnsi="Times"/>
          <w:sz w:val="24"/>
          <w:szCs w:val="24"/>
        </w:rPr>
        <w:t>ffisance rénale, un relais par p</w:t>
      </w:r>
      <w:r>
        <w:rPr>
          <w:rFonts w:ascii="Times" w:hAnsi="Times"/>
          <w:sz w:val="24"/>
          <w:szCs w:val="24"/>
        </w:rPr>
        <w:t>osaconazole était réalisé, associé à des détersions chirurgicales répétées. Grâce au succès de l’allogreffe, les leucocytes remontaient progressivement permettant la guérison moyennant un délabrement local qui a pu ensuite être reconstruit.</w:t>
      </w:r>
    </w:p>
    <w:p w:rsidR="007B2F5C" w:rsidRPr="004328C0" w:rsidRDefault="007B2F5C" w:rsidP="007B2F5C">
      <w:pPr>
        <w:ind w:left="-1134" w:right="-914"/>
        <w:jc w:val="both"/>
        <w:rPr>
          <w:rFonts w:ascii="Times" w:hAnsi="Times"/>
          <w:bCs/>
          <w:sz w:val="24"/>
          <w:szCs w:val="24"/>
        </w:rPr>
      </w:pPr>
      <w:r w:rsidRPr="00095413">
        <w:rPr>
          <w:rFonts w:ascii="Times" w:hAnsi="Times"/>
          <w:b/>
          <w:i/>
          <w:sz w:val="24"/>
          <w:szCs w:val="24"/>
        </w:rPr>
        <w:t>Discussion </w:t>
      </w:r>
      <w:r w:rsidRPr="00095413">
        <w:rPr>
          <w:rFonts w:ascii="Times" w:hAnsi="Times"/>
          <w:i/>
          <w:sz w:val="24"/>
          <w:szCs w:val="24"/>
        </w:rPr>
        <w:t>:</w:t>
      </w:r>
      <w:r w:rsidRPr="00095413">
        <w:rPr>
          <w:rFonts w:ascii="Times" w:hAnsi="Times"/>
          <w:sz w:val="24"/>
          <w:szCs w:val="24"/>
        </w:rPr>
        <w:t xml:space="preserve"> </w:t>
      </w:r>
      <w:r>
        <w:rPr>
          <w:rFonts w:ascii="Times" w:hAnsi="Times"/>
          <w:sz w:val="24"/>
          <w:szCs w:val="24"/>
        </w:rPr>
        <w:t>Les mucormycoses sont des infections fongiques opportunistes cosmopolites, rares, au 3</w:t>
      </w:r>
      <w:r w:rsidRPr="00F67A68">
        <w:rPr>
          <w:rFonts w:ascii="Times" w:hAnsi="Times"/>
          <w:sz w:val="24"/>
          <w:szCs w:val="24"/>
          <w:vertAlign w:val="superscript"/>
        </w:rPr>
        <w:t>ème</w:t>
      </w:r>
      <w:r>
        <w:rPr>
          <w:rFonts w:ascii="Times" w:hAnsi="Times"/>
          <w:sz w:val="24"/>
          <w:szCs w:val="24"/>
        </w:rPr>
        <w:t xml:space="preserve"> rang derrière les candidoses et aspergilloses. L’immunodépression et le diabète en sont les 2 principaux facteurs de risque. </w:t>
      </w:r>
      <w:r w:rsidRPr="00095413">
        <w:rPr>
          <w:rFonts w:ascii="Times" w:hAnsi="Times"/>
          <w:bCs/>
          <w:sz w:val="24"/>
          <w:szCs w:val="24"/>
        </w:rPr>
        <w:t xml:space="preserve">La clinique dépend de </w:t>
      </w:r>
      <w:r>
        <w:rPr>
          <w:rFonts w:ascii="Times" w:hAnsi="Times"/>
          <w:bCs/>
          <w:sz w:val="24"/>
          <w:szCs w:val="24"/>
        </w:rPr>
        <w:t>la porte d’</w:t>
      </w:r>
      <w:r w:rsidRPr="00095413">
        <w:rPr>
          <w:rFonts w:ascii="Times" w:hAnsi="Times"/>
          <w:bCs/>
          <w:sz w:val="24"/>
          <w:szCs w:val="24"/>
        </w:rPr>
        <w:t>entrée des spores</w:t>
      </w:r>
      <w:r>
        <w:rPr>
          <w:rFonts w:ascii="Times" w:hAnsi="Times"/>
          <w:bCs/>
          <w:sz w:val="24"/>
          <w:szCs w:val="24"/>
        </w:rPr>
        <w:t xml:space="preserve"> </w:t>
      </w:r>
      <w:r w:rsidRPr="006C0333">
        <w:rPr>
          <w:rFonts w:ascii="Times" w:hAnsi="Times"/>
          <w:bCs/>
          <w:sz w:val="24"/>
          <w:szCs w:val="24"/>
        </w:rPr>
        <w:t>de</w:t>
      </w:r>
      <w:r>
        <w:rPr>
          <w:rFonts w:ascii="Times" w:hAnsi="Times"/>
          <w:bCs/>
          <w:sz w:val="24"/>
          <w:szCs w:val="24"/>
        </w:rPr>
        <w:t xml:space="preserve"> mucorales dans l’organisme. Ainsi, la</w:t>
      </w:r>
      <w:r w:rsidRPr="00095413">
        <w:rPr>
          <w:rFonts w:ascii="Times" w:hAnsi="Times"/>
          <w:bCs/>
          <w:sz w:val="24"/>
          <w:szCs w:val="24"/>
        </w:rPr>
        <w:t xml:space="preserve"> pénétration via une brèche cutanée en</w:t>
      </w:r>
      <w:r>
        <w:rPr>
          <w:rFonts w:ascii="Times" w:hAnsi="Times"/>
          <w:bCs/>
          <w:sz w:val="24"/>
          <w:szCs w:val="24"/>
        </w:rPr>
        <w:t>traine</w:t>
      </w:r>
      <w:r w:rsidRPr="00095413">
        <w:rPr>
          <w:rFonts w:ascii="Times" w:hAnsi="Times"/>
          <w:bCs/>
          <w:sz w:val="24"/>
          <w:szCs w:val="24"/>
        </w:rPr>
        <w:t xml:space="preserve"> une mucormycose cutanée primitive, caractérisée par un placard inflammatoire</w:t>
      </w:r>
      <w:r>
        <w:rPr>
          <w:rFonts w:ascii="Times" w:hAnsi="Times"/>
          <w:bCs/>
          <w:sz w:val="24"/>
          <w:szCs w:val="24"/>
        </w:rPr>
        <w:t>,</w:t>
      </w:r>
      <w:r w:rsidRPr="00095413">
        <w:rPr>
          <w:rFonts w:ascii="Times" w:hAnsi="Times"/>
          <w:bCs/>
          <w:sz w:val="24"/>
          <w:szCs w:val="24"/>
        </w:rPr>
        <w:t xml:space="preserve"> nécrotique</w:t>
      </w:r>
      <w:r>
        <w:rPr>
          <w:rFonts w:ascii="Times" w:hAnsi="Times"/>
          <w:bCs/>
          <w:sz w:val="24"/>
          <w:szCs w:val="24"/>
        </w:rPr>
        <w:t xml:space="preserve"> et</w:t>
      </w:r>
      <w:r w:rsidRPr="00095413">
        <w:rPr>
          <w:rFonts w:ascii="Times" w:hAnsi="Times"/>
          <w:bCs/>
          <w:sz w:val="24"/>
          <w:szCs w:val="24"/>
        </w:rPr>
        <w:t xml:space="preserve"> extensif. </w:t>
      </w:r>
      <w:r>
        <w:rPr>
          <w:rFonts w:ascii="Times" w:hAnsi="Times"/>
          <w:bCs/>
          <w:sz w:val="24"/>
          <w:szCs w:val="24"/>
        </w:rPr>
        <w:t>Une dissémination hématogène</w:t>
      </w:r>
      <w:r w:rsidRPr="00095413">
        <w:rPr>
          <w:rFonts w:ascii="Times" w:hAnsi="Times"/>
          <w:bCs/>
          <w:sz w:val="24"/>
          <w:szCs w:val="24"/>
        </w:rPr>
        <w:t xml:space="preserve"> avec locali</w:t>
      </w:r>
      <w:r>
        <w:rPr>
          <w:rFonts w:ascii="Times" w:hAnsi="Times"/>
          <w:bCs/>
          <w:sz w:val="24"/>
          <w:szCs w:val="24"/>
        </w:rPr>
        <w:t>sations profondes est redoutée, nécessitant un bilan d’extension (PCR sanguine / TDM TAP). L’examen mycologique direct sur prélèvement cutané (pus / biopsie) recherche des filaments coenotiques larges, réguliers et non septés. La culture, positive dans 60% des cas, identifie le genre et l’espèce. Récemment, les techniques de PCR et de spectrométrie de masse ont montrées une meilleure sensibilité et permettent, outre un diagnostic rapide, le suivi des taux d’ADN mucorales sous antifongique.</w:t>
      </w:r>
      <w:r>
        <w:rPr>
          <w:rFonts w:ascii="Times" w:hAnsi="Times"/>
          <w:sz w:val="24"/>
          <w:szCs w:val="24"/>
        </w:rPr>
        <w:t xml:space="preserve"> </w:t>
      </w:r>
      <w:r w:rsidRPr="004328C0">
        <w:rPr>
          <w:rFonts w:ascii="Times" w:hAnsi="Times"/>
          <w:bCs/>
          <w:sz w:val="24"/>
          <w:szCs w:val="24"/>
        </w:rPr>
        <w:t>Le traitement associ</w:t>
      </w:r>
      <w:r w:rsidR="009C4E0E">
        <w:rPr>
          <w:rFonts w:ascii="Times" w:hAnsi="Times"/>
          <w:bCs/>
          <w:sz w:val="24"/>
          <w:szCs w:val="24"/>
        </w:rPr>
        <w:t>e l’a</w:t>
      </w:r>
      <w:r>
        <w:rPr>
          <w:rFonts w:ascii="Times" w:hAnsi="Times"/>
          <w:bCs/>
          <w:sz w:val="24"/>
          <w:szCs w:val="24"/>
        </w:rPr>
        <w:t>mphotéricine B lipidique à forte dose, relayé par dérivés azolés en entretien et</w:t>
      </w:r>
      <w:r w:rsidRPr="004328C0">
        <w:rPr>
          <w:rFonts w:ascii="Times" w:hAnsi="Times"/>
          <w:bCs/>
          <w:sz w:val="24"/>
          <w:szCs w:val="24"/>
        </w:rPr>
        <w:t xml:space="preserve"> le parage chirurgical répété des tissus nécrosés. Malgré tout, </w:t>
      </w:r>
      <w:r>
        <w:rPr>
          <w:rFonts w:ascii="Times" w:hAnsi="Times"/>
          <w:bCs/>
          <w:sz w:val="24"/>
          <w:szCs w:val="24"/>
        </w:rPr>
        <w:t>le pronostic reste sombre si l’immunodépression perdure.</w:t>
      </w:r>
    </w:p>
    <w:p w:rsidR="007B2F5C" w:rsidRDefault="007B2F5C" w:rsidP="007B2F5C">
      <w:pPr>
        <w:ind w:left="-1134" w:right="-914"/>
        <w:jc w:val="both"/>
        <w:rPr>
          <w:rFonts w:ascii="Times" w:hAnsi="Times"/>
          <w:sz w:val="24"/>
          <w:szCs w:val="24"/>
        </w:rPr>
      </w:pPr>
      <w:r w:rsidRPr="00095413">
        <w:rPr>
          <w:rFonts w:ascii="Times" w:hAnsi="Times"/>
          <w:b/>
          <w:i/>
          <w:sz w:val="24"/>
          <w:szCs w:val="24"/>
        </w:rPr>
        <w:t>Conclusion :</w:t>
      </w:r>
      <w:r w:rsidRPr="00095413">
        <w:rPr>
          <w:rFonts w:ascii="Times" w:hAnsi="Times"/>
          <w:sz w:val="24"/>
          <w:szCs w:val="24"/>
        </w:rPr>
        <w:t xml:space="preserve"> </w:t>
      </w:r>
      <w:r>
        <w:rPr>
          <w:rFonts w:ascii="Times" w:hAnsi="Times"/>
          <w:sz w:val="24"/>
          <w:szCs w:val="24"/>
        </w:rPr>
        <w:t xml:space="preserve">Notre patient a présenté une mucormycose cutanée primitive partiellement contrôlée par les perfusions de facteurs de croissance granulocytaires. L’hypothèse d’un arachnïdisme cutané a retardé le diagnostic et la prise en charge spécifique, mais la guérison a surtout été rendue possible grâce au succès de l’allogreffe permettant la réascension des polynucléaires neutrophiles et une défense immunitaire efficace. </w:t>
      </w:r>
    </w:p>
    <w:p w:rsidR="009C4E0E" w:rsidRPr="00A125F4" w:rsidRDefault="009C4E0E" w:rsidP="009C4E0E">
      <w:pPr>
        <w:ind w:left="-1134" w:right="-914"/>
        <w:jc w:val="both"/>
        <w:rPr>
          <w:rFonts w:ascii="Times" w:hAnsi="Times"/>
          <w:b/>
          <w:i/>
          <w:sz w:val="24"/>
          <w:szCs w:val="24"/>
        </w:rPr>
      </w:pPr>
      <w:r w:rsidRPr="00994356">
        <w:rPr>
          <w:rFonts w:ascii="Times" w:hAnsi="Times"/>
          <w:b/>
          <w:i/>
          <w:sz w:val="24"/>
          <w:szCs w:val="24"/>
        </w:rPr>
        <w:t>Les auteurs ne déclarent aucun conflit d’intérêt</w:t>
      </w:r>
      <w:r>
        <w:rPr>
          <w:rFonts w:ascii="Times" w:hAnsi="Times"/>
          <w:b/>
          <w:i/>
          <w:sz w:val="24"/>
          <w:szCs w:val="24"/>
        </w:rPr>
        <w:t>s</w:t>
      </w:r>
    </w:p>
    <w:p w:rsidR="007B2F5C" w:rsidRPr="00A125F4" w:rsidRDefault="007B2F5C" w:rsidP="007B2F5C">
      <w:pPr>
        <w:ind w:left="-1134" w:right="-914"/>
        <w:jc w:val="both"/>
        <w:rPr>
          <w:rFonts w:ascii="Times" w:hAnsi="Times"/>
          <w:b/>
          <w:i/>
          <w:sz w:val="24"/>
          <w:szCs w:val="24"/>
        </w:rPr>
      </w:pPr>
      <w:bookmarkStart w:id="0" w:name="_GoBack"/>
      <w:bookmarkEnd w:id="0"/>
    </w:p>
    <w:p w:rsidR="002F3B54" w:rsidRDefault="002F3B54"/>
    <w:sectPr w:rsidR="002F3B54" w:rsidSect="00EB509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hyphenationZone w:val="425"/>
  <w:characterSpacingControl w:val="doNotCompress"/>
  <w:savePreviewPicture/>
  <w:compat>
    <w:useFELayout/>
  </w:compat>
  <w:rsids>
    <w:rsidRoot w:val="007B2F5C"/>
    <w:rsid w:val="002F3B54"/>
    <w:rsid w:val="007B2F5C"/>
    <w:rsid w:val="0082415F"/>
    <w:rsid w:val="009C4E0E"/>
    <w:rsid w:val="00A608B7"/>
    <w:rsid w:val="00EB5098"/>
  </w:rsids>
  <m:mathPr>
    <m:mathFont m:val="American Typewriter Ligh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B2F5C"/>
    <w:pPr>
      <w:spacing w:after="200" w:line="276" w:lineRule="auto"/>
    </w:pPr>
    <w:rPr>
      <w:rFonts w:ascii="Calibri" w:eastAsia="Calibri" w:hAnsi="Calibri" w:cs="Times New Roman"/>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itre">
    <w:name w:val="Title"/>
    <w:basedOn w:val="Normal"/>
    <w:next w:val="Normal"/>
    <w:link w:val="TitreCar"/>
    <w:uiPriority w:val="99"/>
    <w:qFormat/>
    <w:rsid w:val="007B2F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rsid w:val="007B2F5C"/>
    <w:rPr>
      <w:rFonts w:ascii="Cambria" w:eastAsia="Times New Roman" w:hAnsi="Cambria" w:cs="Times New Roman"/>
      <w:color w:val="17365D"/>
      <w:spacing w:val="5"/>
      <w:kern w:val="28"/>
      <w:sz w:val="52"/>
      <w:szCs w:val="52"/>
    </w:rPr>
  </w:style>
  <w:style w:type="character" w:styleId="Titredulivre">
    <w:name w:val="Book Title"/>
    <w:basedOn w:val="Policepardfaut"/>
    <w:uiPriority w:val="99"/>
    <w:qFormat/>
    <w:rsid w:val="007B2F5C"/>
    <w:rPr>
      <w:rFonts w:cs="Times New Roman"/>
      <w:b/>
      <w:bCs/>
      <w:smallCaps/>
      <w:spacing w:val="5"/>
    </w:rPr>
  </w:style>
  <w:style w:type="paragraph" w:styleId="Sansinterligne">
    <w:name w:val="No Spacing"/>
    <w:uiPriority w:val="1"/>
    <w:qFormat/>
    <w:rsid w:val="007B2F5C"/>
    <w:rPr>
      <w:rFonts w:ascii="Calibri" w:eastAsia="Calibri" w:hAnsi="Calibri" w:cs="Times New Roman"/>
      <w:sz w:val="22"/>
      <w:szCs w:val="22"/>
    </w:rPr>
  </w:style>
  <w:style w:type="character" w:styleId="Accentuation">
    <w:name w:val="Emphasis"/>
    <w:basedOn w:val="Policepardfaut"/>
    <w:uiPriority w:val="20"/>
    <w:qFormat/>
    <w:rsid w:val="007B2F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B2F5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B2F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B2F5C"/>
    <w:rPr>
      <w:rFonts w:ascii="Cambria" w:eastAsia="Times New Roman" w:hAnsi="Cambria" w:cs="Times New Roman"/>
      <w:color w:val="17365D"/>
      <w:spacing w:val="5"/>
      <w:kern w:val="28"/>
      <w:sz w:val="52"/>
      <w:szCs w:val="52"/>
    </w:rPr>
  </w:style>
  <w:style w:type="character" w:styleId="BookTitle">
    <w:name w:val="Book Title"/>
    <w:basedOn w:val="DefaultParagraphFont"/>
    <w:uiPriority w:val="99"/>
    <w:qFormat/>
    <w:rsid w:val="007B2F5C"/>
    <w:rPr>
      <w:rFonts w:cs="Times New Roman"/>
      <w:b/>
      <w:bCs/>
      <w:smallCaps/>
      <w:spacing w:val="5"/>
    </w:rPr>
  </w:style>
  <w:style w:type="paragraph" w:styleId="NoSpacing">
    <w:name w:val="No Spacing"/>
    <w:uiPriority w:val="1"/>
    <w:qFormat/>
    <w:rsid w:val="007B2F5C"/>
    <w:rPr>
      <w:rFonts w:ascii="Calibri" w:eastAsia="Calibri" w:hAnsi="Calibri" w:cs="Times New Roman"/>
      <w:sz w:val="22"/>
      <w:szCs w:val="22"/>
    </w:rPr>
  </w:style>
  <w:style w:type="character" w:styleId="Emphasis">
    <w:name w:val="Emphasis"/>
    <w:basedOn w:val="DefaultParagraphFont"/>
    <w:uiPriority w:val="20"/>
    <w:qFormat/>
    <w:rsid w:val="007B2F5C"/>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Macintosh Word</Application>
  <DocSecurity>0</DocSecurity>
  <Lines>23</Lines>
  <Paragraphs>5</Paragraphs>
  <ScaleCrop>false</ScaleCrop>
  <Company>RICHARD Muriel</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RICHARD</dc:creator>
  <cp:keywords/>
  <dc:description/>
  <cp:lastModifiedBy>Isabelle ADO</cp:lastModifiedBy>
  <cp:revision>2</cp:revision>
  <dcterms:created xsi:type="dcterms:W3CDTF">2017-10-23T06:04:00Z</dcterms:created>
  <dcterms:modified xsi:type="dcterms:W3CDTF">2017-10-23T06:04:00Z</dcterms:modified>
</cp:coreProperties>
</file>