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336" w:rsidRPr="008F0A89" w:rsidRDefault="00440336" w:rsidP="00440336">
      <w:pPr>
        <w:rPr>
          <w:sz w:val="20"/>
          <w:szCs w:val="20"/>
        </w:rPr>
      </w:pPr>
      <w:r w:rsidRPr="008F0A89">
        <w:rPr>
          <w:sz w:val="20"/>
          <w:szCs w:val="20"/>
        </w:rPr>
        <w:t xml:space="preserve">Un rare cas de myxœdème </w:t>
      </w:r>
      <w:r>
        <w:rPr>
          <w:sz w:val="20"/>
          <w:szCs w:val="20"/>
        </w:rPr>
        <w:t xml:space="preserve">chez une enfant présentant un diabète et une maladie </w:t>
      </w:r>
      <w:r w:rsidRPr="008F0A89">
        <w:rPr>
          <w:sz w:val="20"/>
          <w:szCs w:val="20"/>
        </w:rPr>
        <w:t>cœliaque mimant une sclérodermie systémique infantile</w:t>
      </w:r>
    </w:p>
    <w:p w:rsidR="00440336" w:rsidRPr="008F0A89" w:rsidRDefault="00440336" w:rsidP="00440336">
      <w:pPr>
        <w:rPr>
          <w:sz w:val="20"/>
          <w:szCs w:val="20"/>
        </w:rPr>
      </w:pPr>
    </w:p>
    <w:p w:rsidR="00440336" w:rsidRPr="008F0A89" w:rsidRDefault="00440336" w:rsidP="00440336">
      <w:pPr>
        <w:rPr>
          <w:sz w:val="20"/>
          <w:szCs w:val="20"/>
        </w:rPr>
      </w:pPr>
      <w:r w:rsidRPr="008F0A89">
        <w:rPr>
          <w:sz w:val="20"/>
          <w:szCs w:val="20"/>
        </w:rPr>
        <w:t>C Sarles</w:t>
      </w:r>
      <w:r>
        <w:rPr>
          <w:sz w:val="20"/>
          <w:szCs w:val="20"/>
          <w:vertAlign w:val="superscript"/>
        </w:rPr>
        <w:t>1</w:t>
      </w:r>
      <w:r w:rsidRPr="008F0A89">
        <w:rPr>
          <w:sz w:val="20"/>
          <w:szCs w:val="20"/>
        </w:rPr>
        <w:t>,</w:t>
      </w:r>
      <w:r>
        <w:rPr>
          <w:sz w:val="20"/>
          <w:szCs w:val="20"/>
        </w:rPr>
        <w:t xml:space="preserve"> M Vierge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, AL Jurquet 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, E Zanin </w:t>
      </w:r>
      <w:r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>, N Malissen</w:t>
      </w:r>
      <w:r w:rsidR="00DD367D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S Hesse</w:t>
      </w:r>
      <w:r w:rsidR="00DD367D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MA </w:t>
      </w:r>
      <w:r w:rsidRPr="008F0A89">
        <w:rPr>
          <w:sz w:val="20"/>
          <w:szCs w:val="20"/>
        </w:rPr>
        <w:t>Richard</w:t>
      </w:r>
      <w:r w:rsidR="00DD367D">
        <w:rPr>
          <w:sz w:val="20"/>
          <w:szCs w:val="20"/>
          <w:vertAlign w:val="superscript"/>
        </w:rPr>
        <w:t>1</w:t>
      </w:r>
      <w:r w:rsidRPr="008F0A89">
        <w:rPr>
          <w:sz w:val="20"/>
          <w:szCs w:val="20"/>
        </w:rPr>
        <w:t>, JJ Grob</w:t>
      </w:r>
      <w:r w:rsidR="00DD367D">
        <w:rPr>
          <w:sz w:val="20"/>
          <w:szCs w:val="20"/>
          <w:vertAlign w:val="superscript"/>
        </w:rPr>
        <w:t>1</w:t>
      </w:r>
      <w:r w:rsidRPr="008F0A89">
        <w:rPr>
          <w:sz w:val="20"/>
          <w:szCs w:val="20"/>
        </w:rPr>
        <w:t>, C Gaudy</w:t>
      </w:r>
      <w:r w:rsidR="00DD367D">
        <w:rPr>
          <w:sz w:val="20"/>
          <w:szCs w:val="20"/>
        </w:rPr>
        <w:t>-Marqueste</w:t>
      </w:r>
      <w:r w:rsidR="00DD367D">
        <w:rPr>
          <w:sz w:val="20"/>
          <w:szCs w:val="20"/>
          <w:vertAlign w:val="superscript"/>
        </w:rPr>
        <w:t>1</w:t>
      </w:r>
      <w:r w:rsidRPr="008F0A89">
        <w:rPr>
          <w:sz w:val="20"/>
          <w:szCs w:val="20"/>
        </w:rPr>
        <w:t>, S Mallet</w:t>
      </w:r>
      <w:r w:rsidR="00DD367D">
        <w:rPr>
          <w:sz w:val="20"/>
          <w:szCs w:val="20"/>
          <w:vertAlign w:val="superscript"/>
        </w:rPr>
        <w:t>1</w:t>
      </w:r>
    </w:p>
    <w:p w:rsidR="00440336" w:rsidRPr="008F0A89" w:rsidRDefault="00440336" w:rsidP="00440336">
      <w:pPr>
        <w:rPr>
          <w:sz w:val="20"/>
          <w:szCs w:val="20"/>
        </w:rPr>
      </w:pPr>
      <w:r>
        <w:rPr>
          <w:sz w:val="20"/>
          <w:szCs w:val="20"/>
        </w:rPr>
        <w:t>1 : service de dermatologie</w:t>
      </w:r>
      <w:r w:rsidR="005F4D5D">
        <w:rPr>
          <w:sz w:val="20"/>
          <w:szCs w:val="20"/>
        </w:rPr>
        <w:t>,</w:t>
      </w:r>
      <w:r>
        <w:rPr>
          <w:sz w:val="20"/>
          <w:szCs w:val="20"/>
        </w:rPr>
        <w:t xml:space="preserve"> hôpital Timone, APHM, Marseille</w:t>
      </w:r>
    </w:p>
    <w:p w:rsidR="00440336" w:rsidRDefault="00440336" w:rsidP="00440336">
      <w:pPr>
        <w:rPr>
          <w:sz w:val="20"/>
          <w:szCs w:val="20"/>
        </w:rPr>
      </w:pPr>
      <w:r>
        <w:rPr>
          <w:sz w:val="20"/>
          <w:szCs w:val="20"/>
        </w:rPr>
        <w:t>2 : service pédiatrie multidisciplinaire</w:t>
      </w:r>
      <w:r w:rsidR="005F4D5D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5F4D5D">
        <w:rPr>
          <w:sz w:val="20"/>
          <w:szCs w:val="20"/>
        </w:rPr>
        <w:t>hôpital</w:t>
      </w:r>
      <w:r>
        <w:rPr>
          <w:sz w:val="20"/>
          <w:szCs w:val="20"/>
        </w:rPr>
        <w:t xml:space="preserve"> Timone, APHM, Marseille</w:t>
      </w:r>
    </w:p>
    <w:p w:rsidR="00440336" w:rsidRDefault="00440336" w:rsidP="00440336">
      <w:pPr>
        <w:rPr>
          <w:sz w:val="20"/>
          <w:szCs w:val="20"/>
        </w:rPr>
      </w:pPr>
      <w:r>
        <w:rPr>
          <w:sz w:val="20"/>
          <w:szCs w:val="20"/>
        </w:rPr>
        <w:t>3 : service pédiatrie</w:t>
      </w:r>
      <w:r w:rsidR="005F4D5D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5F4D5D">
        <w:rPr>
          <w:sz w:val="20"/>
          <w:szCs w:val="20"/>
        </w:rPr>
        <w:t>hôpital</w:t>
      </w:r>
      <w:r>
        <w:rPr>
          <w:sz w:val="20"/>
          <w:szCs w:val="20"/>
        </w:rPr>
        <w:t xml:space="preserve"> Nord, APHM, Marseille</w:t>
      </w:r>
    </w:p>
    <w:p w:rsidR="00440336" w:rsidRDefault="00440336" w:rsidP="00440336">
      <w:pPr>
        <w:rPr>
          <w:sz w:val="20"/>
          <w:szCs w:val="20"/>
        </w:rPr>
      </w:pPr>
      <w:r>
        <w:rPr>
          <w:sz w:val="20"/>
          <w:szCs w:val="20"/>
        </w:rPr>
        <w:t xml:space="preserve">4 : service ophtalmologie, </w:t>
      </w:r>
      <w:r w:rsidR="005F4D5D">
        <w:rPr>
          <w:sz w:val="20"/>
          <w:szCs w:val="20"/>
        </w:rPr>
        <w:t>hôpital</w:t>
      </w:r>
      <w:r>
        <w:rPr>
          <w:sz w:val="20"/>
          <w:szCs w:val="20"/>
        </w:rPr>
        <w:t xml:space="preserve"> Nord, APHM, Marseille</w:t>
      </w:r>
    </w:p>
    <w:p w:rsidR="00440336" w:rsidRPr="008F0A89" w:rsidRDefault="00440336" w:rsidP="00440336">
      <w:pPr>
        <w:rPr>
          <w:sz w:val="20"/>
          <w:szCs w:val="20"/>
        </w:rPr>
      </w:pPr>
    </w:p>
    <w:p w:rsidR="00440336" w:rsidRDefault="00440336" w:rsidP="00440336">
      <w:pPr>
        <w:rPr>
          <w:sz w:val="20"/>
          <w:szCs w:val="20"/>
        </w:rPr>
      </w:pPr>
      <w:r w:rsidRPr="008F0A89">
        <w:rPr>
          <w:sz w:val="20"/>
          <w:szCs w:val="20"/>
        </w:rPr>
        <w:t>Le myxœdème</w:t>
      </w:r>
      <w:r>
        <w:rPr>
          <w:sz w:val="20"/>
          <w:szCs w:val="20"/>
        </w:rPr>
        <w:t xml:space="preserve"> chez l’enfant</w:t>
      </w:r>
      <w:r w:rsidRPr="008F0A89">
        <w:rPr>
          <w:sz w:val="20"/>
          <w:szCs w:val="20"/>
        </w:rPr>
        <w:t xml:space="preserve">, souvent consécutif à l’hypothyroïdie congénitale, est désormais rare du fait du dépistage néonatal systématique. </w:t>
      </w:r>
      <w:r w:rsidR="004C5D18">
        <w:rPr>
          <w:sz w:val="20"/>
          <w:szCs w:val="20"/>
        </w:rPr>
        <w:t>Nous rapportons un</w:t>
      </w:r>
      <w:r>
        <w:rPr>
          <w:sz w:val="20"/>
          <w:szCs w:val="20"/>
        </w:rPr>
        <w:t xml:space="preserve"> cas chez une enfant, dans un contexte de dysimmunité, ayant fait porté le diagnostic de </w:t>
      </w:r>
      <w:r w:rsidRPr="008F0A89">
        <w:rPr>
          <w:sz w:val="20"/>
          <w:szCs w:val="20"/>
        </w:rPr>
        <w:t>sclérodermie systémique infantile</w:t>
      </w:r>
      <w:r>
        <w:rPr>
          <w:sz w:val="20"/>
          <w:szCs w:val="20"/>
        </w:rPr>
        <w:t xml:space="preserve"> (SSI).</w:t>
      </w:r>
    </w:p>
    <w:p w:rsidR="00440336" w:rsidRDefault="00440336" w:rsidP="00440336">
      <w:pPr>
        <w:rPr>
          <w:sz w:val="20"/>
          <w:szCs w:val="20"/>
        </w:rPr>
      </w:pPr>
    </w:p>
    <w:p w:rsidR="00440336" w:rsidRDefault="00440336" w:rsidP="00440336">
      <w:pPr>
        <w:rPr>
          <w:sz w:val="20"/>
          <w:szCs w:val="20"/>
        </w:rPr>
      </w:pPr>
      <w:r w:rsidRPr="008F0A89">
        <w:rPr>
          <w:sz w:val="20"/>
          <w:szCs w:val="20"/>
        </w:rPr>
        <w:t>Une fillette de 11 ans, issue de parents non consanguins</w:t>
      </w:r>
      <w:r>
        <w:rPr>
          <w:sz w:val="20"/>
          <w:szCs w:val="20"/>
        </w:rPr>
        <w:t>,</w:t>
      </w:r>
      <w:r w:rsidRPr="008F0A89">
        <w:rPr>
          <w:sz w:val="20"/>
          <w:szCs w:val="20"/>
        </w:rPr>
        <w:t xml:space="preserve"> était adressée pour </w:t>
      </w:r>
      <w:r>
        <w:rPr>
          <w:sz w:val="20"/>
          <w:szCs w:val="20"/>
        </w:rPr>
        <w:t>évaluation pluridisciplinaire d’une</w:t>
      </w:r>
      <w:r w:rsidRPr="008F0A89">
        <w:rPr>
          <w:sz w:val="20"/>
          <w:szCs w:val="20"/>
        </w:rPr>
        <w:t xml:space="preserve"> SSI. Elle </w:t>
      </w:r>
      <w:r>
        <w:rPr>
          <w:sz w:val="20"/>
          <w:szCs w:val="20"/>
        </w:rPr>
        <w:t>était suivie initialement en Algérie pour</w:t>
      </w:r>
      <w:r w:rsidRPr="008F0A89">
        <w:rPr>
          <w:sz w:val="20"/>
          <w:szCs w:val="20"/>
        </w:rPr>
        <w:t xml:space="preserve"> diabète de type 1 sous insulin</w:t>
      </w:r>
      <w:r>
        <w:rPr>
          <w:sz w:val="20"/>
          <w:szCs w:val="20"/>
        </w:rPr>
        <w:t xml:space="preserve">e </w:t>
      </w:r>
      <w:r w:rsidRPr="008F0A89">
        <w:rPr>
          <w:sz w:val="20"/>
          <w:szCs w:val="20"/>
        </w:rPr>
        <w:t xml:space="preserve">depuis </w:t>
      </w:r>
      <w:r>
        <w:rPr>
          <w:sz w:val="20"/>
          <w:szCs w:val="20"/>
        </w:rPr>
        <w:t>ses</w:t>
      </w:r>
      <w:r w:rsidRPr="008F0A89">
        <w:rPr>
          <w:sz w:val="20"/>
          <w:szCs w:val="20"/>
        </w:rPr>
        <w:t xml:space="preserve"> 16 mois et maladie cœliaque </w:t>
      </w:r>
      <w:r>
        <w:rPr>
          <w:sz w:val="20"/>
          <w:szCs w:val="20"/>
        </w:rPr>
        <w:t>avec</w:t>
      </w:r>
      <w:r w:rsidRPr="008F0A89">
        <w:rPr>
          <w:sz w:val="20"/>
          <w:szCs w:val="20"/>
        </w:rPr>
        <w:t xml:space="preserve"> régime sans gluten. Elle </w:t>
      </w:r>
      <w:r>
        <w:rPr>
          <w:sz w:val="20"/>
          <w:szCs w:val="20"/>
        </w:rPr>
        <w:t>développait</w:t>
      </w:r>
      <w:r w:rsidRPr="008F0A89">
        <w:rPr>
          <w:sz w:val="20"/>
          <w:szCs w:val="20"/>
        </w:rPr>
        <w:t xml:space="preserve"> depuis 2 ans un </w:t>
      </w:r>
      <w:r w:rsidR="004C5D18">
        <w:rPr>
          <w:sz w:val="20"/>
          <w:szCs w:val="20"/>
        </w:rPr>
        <w:t>syndrome</w:t>
      </w:r>
      <w:r>
        <w:rPr>
          <w:sz w:val="20"/>
          <w:szCs w:val="20"/>
        </w:rPr>
        <w:t xml:space="preserve"> sclérodermiforme</w:t>
      </w:r>
      <w:r w:rsidRPr="008F0A89">
        <w:rPr>
          <w:sz w:val="20"/>
          <w:szCs w:val="20"/>
        </w:rPr>
        <w:t xml:space="preserve">. A l’examen clinique, on observait un faciès lunaire, une sclérose cutanée diffuse </w:t>
      </w:r>
      <w:r w:rsidR="00D15635">
        <w:rPr>
          <w:sz w:val="20"/>
          <w:szCs w:val="20"/>
        </w:rPr>
        <w:t xml:space="preserve">(photo 1) </w:t>
      </w:r>
      <w:r w:rsidRPr="008F0A89">
        <w:rPr>
          <w:sz w:val="20"/>
          <w:szCs w:val="20"/>
        </w:rPr>
        <w:t>avec retentissement sur la mobilité</w:t>
      </w:r>
      <w:r>
        <w:rPr>
          <w:sz w:val="20"/>
          <w:szCs w:val="20"/>
        </w:rPr>
        <w:t>, mais</w:t>
      </w:r>
      <w:r w:rsidRPr="008F0A89">
        <w:rPr>
          <w:sz w:val="20"/>
          <w:szCs w:val="20"/>
        </w:rPr>
        <w:t xml:space="preserve"> sans réelle atteinte articulaire sous-jacente. Elle ne présent</w:t>
      </w:r>
      <w:r w:rsidR="00BA11AE">
        <w:rPr>
          <w:sz w:val="20"/>
          <w:szCs w:val="20"/>
        </w:rPr>
        <w:t xml:space="preserve">ait pas d’acrosyndrome ni syndrome de Raynaud vrai. </w:t>
      </w:r>
      <w:r w:rsidRPr="008F0A89">
        <w:rPr>
          <w:sz w:val="20"/>
          <w:szCs w:val="20"/>
        </w:rPr>
        <w:t xml:space="preserve">Devant une baisse d’acuité visuelle, un examen ophtalmologique </w:t>
      </w:r>
      <w:r w:rsidR="004C5D18">
        <w:rPr>
          <w:sz w:val="20"/>
          <w:szCs w:val="20"/>
        </w:rPr>
        <w:t>mettait</w:t>
      </w:r>
      <w:r w:rsidRPr="008F0A89">
        <w:rPr>
          <w:sz w:val="20"/>
          <w:szCs w:val="20"/>
        </w:rPr>
        <w:t xml:space="preserve"> en évidence une pan-uvéite bilatérale sévère non granulomateuse. </w:t>
      </w:r>
      <w:r>
        <w:rPr>
          <w:sz w:val="20"/>
          <w:szCs w:val="20"/>
        </w:rPr>
        <w:t>On notait bien une dysimmunité biologique avec</w:t>
      </w:r>
      <w:r w:rsidRPr="008F0A89">
        <w:rPr>
          <w:sz w:val="20"/>
          <w:szCs w:val="20"/>
        </w:rPr>
        <w:t xml:space="preserve"> ACAN à 1/1</w:t>
      </w:r>
      <w:r>
        <w:rPr>
          <w:sz w:val="20"/>
          <w:szCs w:val="20"/>
        </w:rPr>
        <w:t>280 mais l</w:t>
      </w:r>
      <w:r w:rsidRPr="008F0A89">
        <w:rPr>
          <w:sz w:val="20"/>
          <w:szCs w:val="20"/>
        </w:rPr>
        <w:t>’e</w:t>
      </w:r>
      <w:r w:rsidR="004C5D18">
        <w:rPr>
          <w:sz w:val="20"/>
          <w:szCs w:val="20"/>
        </w:rPr>
        <w:t>nsemble des anticorps (AC) anti</w:t>
      </w:r>
      <w:r w:rsidRPr="008F0A89">
        <w:rPr>
          <w:sz w:val="20"/>
          <w:szCs w:val="20"/>
        </w:rPr>
        <w:t xml:space="preserve">antigènes nucléaires solubles </w:t>
      </w:r>
      <w:r>
        <w:rPr>
          <w:sz w:val="20"/>
          <w:szCs w:val="20"/>
        </w:rPr>
        <w:t>res</w:t>
      </w:r>
      <w:r w:rsidRPr="008F0A89">
        <w:rPr>
          <w:sz w:val="20"/>
          <w:szCs w:val="20"/>
        </w:rPr>
        <w:t xml:space="preserve">taient négatifs, de même que les AC du diabète et de la maladie cœliaque.  La capillaroscopie ne </w:t>
      </w:r>
      <w:r>
        <w:rPr>
          <w:sz w:val="20"/>
          <w:szCs w:val="20"/>
        </w:rPr>
        <w:t xml:space="preserve">retrouvait </w:t>
      </w:r>
      <w:r w:rsidRPr="008F0A89">
        <w:rPr>
          <w:sz w:val="20"/>
          <w:szCs w:val="20"/>
        </w:rPr>
        <w:t>pas de mégacapillaire</w:t>
      </w:r>
      <w:r>
        <w:rPr>
          <w:sz w:val="20"/>
          <w:szCs w:val="20"/>
        </w:rPr>
        <w:t xml:space="preserve"> et le diagnostic de SSI était rediscuté</w:t>
      </w:r>
      <w:r w:rsidRPr="008F0A89">
        <w:rPr>
          <w:sz w:val="20"/>
          <w:szCs w:val="20"/>
        </w:rPr>
        <w:t xml:space="preserve">.  </w:t>
      </w:r>
      <w:r>
        <w:rPr>
          <w:sz w:val="20"/>
          <w:szCs w:val="20"/>
        </w:rPr>
        <w:t>L</w:t>
      </w:r>
      <w:r w:rsidRPr="008F0A89">
        <w:rPr>
          <w:sz w:val="20"/>
          <w:szCs w:val="20"/>
        </w:rPr>
        <w:t xml:space="preserve">e bilan </w:t>
      </w:r>
      <w:r>
        <w:rPr>
          <w:sz w:val="20"/>
          <w:szCs w:val="20"/>
        </w:rPr>
        <w:t>complémentaire</w:t>
      </w:r>
      <w:r w:rsidRPr="008F0A89">
        <w:rPr>
          <w:sz w:val="20"/>
          <w:szCs w:val="20"/>
        </w:rPr>
        <w:t xml:space="preserve"> </w:t>
      </w:r>
      <w:r>
        <w:rPr>
          <w:sz w:val="20"/>
          <w:szCs w:val="20"/>
        </w:rPr>
        <w:t>révélait</w:t>
      </w:r>
      <w:r w:rsidRPr="008F0A89">
        <w:rPr>
          <w:sz w:val="20"/>
          <w:szCs w:val="20"/>
        </w:rPr>
        <w:t xml:space="preserve"> une hypothyroïdie périphérique sévère </w:t>
      </w:r>
      <w:r>
        <w:rPr>
          <w:sz w:val="20"/>
          <w:szCs w:val="20"/>
        </w:rPr>
        <w:t>(</w:t>
      </w:r>
      <w:r w:rsidRPr="008F0A89">
        <w:rPr>
          <w:sz w:val="20"/>
          <w:szCs w:val="20"/>
        </w:rPr>
        <w:t>TSH à 226 mUI/L</w:t>
      </w:r>
      <w:r>
        <w:rPr>
          <w:sz w:val="20"/>
          <w:szCs w:val="20"/>
        </w:rPr>
        <w:t>,</w:t>
      </w:r>
      <w:r w:rsidRPr="008F0A89">
        <w:rPr>
          <w:sz w:val="20"/>
          <w:szCs w:val="20"/>
        </w:rPr>
        <w:t xml:space="preserve"> T4 indosable</w:t>
      </w:r>
      <w:r>
        <w:rPr>
          <w:sz w:val="20"/>
          <w:szCs w:val="20"/>
        </w:rPr>
        <w:t>) et</w:t>
      </w:r>
      <w:r w:rsidRPr="008F0A8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un </w:t>
      </w:r>
      <w:r w:rsidRPr="008F0A89">
        <w:rPr>
          <w:sz w:val="20"/>
          <w:szCs w:val="20"/>
        </w:rPr>
        <w:t>aspect de thyroïdite</w:t>
      </w:r>
      <w:r>
        <w:rPr>
          <w:sz w:val="20"/>
          <w:szCs w:val="20"/>
        </w:rPr>
        <w:t xml:space="preserve"> à l’échographie</w:t>
      </w:r>
      <w:r w:rsidR="007D2DE2">
        <w:rPr>
          <w:sz w:val="20"/>
          <w:szCs w:val="20"/>
        </w:rPr>
        <w:t>. Les AC antithyroglobuline et anti</w:t>
      </w:r>
      <w:r w:rsidRPr="008F0A89">
        <w:rPr>
          <w:sz w:val="20"/>
          <w:szCs w:val="20"/>
        </w:rPr>
        <w:t>thyropéroxidase étaient</w:t>
      </w:r>
      <w:r>
        <w:rPr>
          <w:sz w:val="20"/>
          <w:szCs w:val="20"/>
        </w:rPr>
        <w:t>, comme les autres AC,</w:t>
      </w:r>
      <w:r w:rsidRPr="008F0A89">
        <w:rPr>
          <w:sz w:val="20"/>
          <w:szCs w:val="20"/>
        </w:rPr>
        <w:t xml:space="preserve"> négatifs. Nous avions donc retenu le diagnostic de myxœdème secondaire à une hypothyroïdie pour le tableau cutané.</w:t>
      </w:r>
    </w:p>
    <w:p w:rsidR="00446DBD" w:rsidRDefault="00440336" w:rsidP="00891C19">
      <w:pPr>
        <w:pStyle w:val="NormalWeb"/>
      </w:pPr>
      <w:r w:rsidRPr="00BA11AE">
        <w:rPr>
          <w:rFonts w:asciiTheme="minorHAnsi" w:hAnsiTheme="minorHAnsi"/>
          <w:szCs w:val="24"/>
        </w:rPr>
        <w:t xml:space="preserve">Le contexte, </w:t>
      </w:r>
      <w:r w:rsidR="0098241E">
        <w:rPr>
          <w:rFonts w:asciiTheme="minorHAnsi" w:hAnsiTheme="minorHAnsi"/>
          <w:szCs w:val="24"/>
        </w:rPr>
        <w:t xml:space="preserve">un interrogatoire minutieux éliminant notamment l’exposition à des agents exogènes, </w:t>
      </w:r>
      <w:r w:rsidRPr="00BA11AE">
        <w:rPr>
          <w:rFonts w:asciiTheme="minorHAnsi" w:hAnsiTheme="minorHAnsi"/>
          <w:szCs w:val="24"/>
        </w:rPr>
        <w:t xml:space="preserve">l’absence </w:t>
      </w:r>
      <w:r w:rsidR="00BA11AE" w:rsidRPr="00BA11AE">
        <w:rPr>
          <w:rFonts w:asciiTheme="minorHAnsi" w:hAnsiTheme="minorHAnsi"/>
          <w:szCs w:val="24"/>
        </w:rPr>
        <w:t xml:space="preserve">les signes dermatologiques </w:t>
      </w:r>
      <w:r w:rsidR="00BA11AE">
        <w:rPr>
          <w:rFonts w:asciiTheme="minorHAnsi" w:hAnsiTheme="minorHAnsi"/>
          <w:szCs w:val="24"/>
        </w:rPr>
        <w:t xml:space="preserve">à rechercher </w:t>
      </w:r>
      <w:r w:rsidR="00BA11AE" w:rsidRPr="00BA11AE">
        <w:rPr>
          <w:rFonts w:asciiTheme="minorHAnsi" w:hAnsiTheme="minorHAnsi"/>
          <w:szCs w:val="24"/>
        </w:rPr>
        <w:t xml:space="preserve">comme sclérodactylie, télangiectasies et ulcérations ou cicatrices pulpaires </w:t>
      </w:r>
      <w:r w:rsidRPr="00BA11AE">
        <w:rPr>
          <w:rFonts w:asciiTheme="minorHAnsi" w:hAnsiTheme="minorHAnsi"/>
          <w:szCs w:val="24"/>
        </w:rPr>
        <w:t xml:space="preserve">et </w:t>
      </w:r>
      <w:r w:rsidR="0098241E">
        <w:rPr>
          <w:rFonts w:asciiTheme="minorHAnsi" w:hAnsiTheme="minorHAnsi"/>
          <w:szCs w:val="24"/>
        </w:rPr>
        <w:t>des examens complémentaires ciblés</w:t>
      </w:r>
      <w:r w:rsidRPr="00BA11AE">
        <w:rPr>
          <w:rFonts w:asciiTheme="minorHAnsi" w:hAnsiTheme="minorHAnsi"/>
          <w:szCs w:val="24"/>
        </w:rPr>
        <w:t xml:space="preserve"> </w:t>
      </w:r>
      <w:r w:rsidR="0098241E">
        <w:rPr>
          <w:rFonts w:asciiTheme="minorHAnsi" w:hAnsiTheme="minorHAnsi"/>
          <w:szCs w:val="24"/>
        </w:rPr>
        <w:t>(</w:t>
      </w:r>
      <w:r w:rsidR="005E0479">
        <w:rPr>
          <w:rFonts w:asciiTheme="minorHAnsi" w:hAnsiTheme="minorHAnsi"/>
          <w:szCs w:val="24"/>
        </w:rPr>
        <w:t>capillaroscopie</w:t>
      </w:r>
      <w:r w:rsidR="0098241E">
        <w:rPr>
          <w:rFonts w:asciiTheme="minorHAnsi" w:hAnsiTheme="minorHAnsi"/>
          <w:szCs w:val="24"/>
        </w:rPr>
        <w:t xml:space="preserve"> et AC) </w:t>
      </w:r>
      <w:r w:rsidRPr="00BA11AE">
        <w:rPr>
          <w:rFonts w:asciiTheme="minorHAnsi" w:hAnsiTheme="minorHAnsi"/>
          <w:szCs w:val="24"/>
        </w:rPr>
        <w:t xml:space="preserve">permettent </w:t>
      </w:r>
      <w:r w:rsidR="0098241E">
        <w:rPr>
          <w:rFonts w:asciiTheme="minorHAnsi" w:hAnsiTheme="minorHAnsi"/>
          <w:szCs w:val="24"/>
        </w:rPr>
        <w:t>de s’orienter devant une</w:t>
      </w:r>
      <w:r w:rsidR="00BA11AE">
        <w:rPr>
          <w:rFonts w:asciiTheme="minorHAnsi" w:hAnsiTheme="minorHAnsi"/>
          <w:szCs w:val="24"/>
        </w:rPr>
        <w:t xml:space="preserve"> </w:t>
      </w:r>
      <w:r w:rsidR="0098241E">
        <w:rPr>
          <w:rFonts w:asciiTheme="minorHAnsi" w:hAnsiTheme="minorHAnsi"/>
          <w:szCs w:val="24"/>
        </w:rPr>
        <w:t>atteinte</w:t>
      </w:r>
      <w:r w:rsidR="00BA11AE">
        <w:rPr>
          <w:rFonts w:asciiTheme="minorHAnsi" w:hAnsiTheme="minorHAnsi"/>
          <w:szCs w:val="24"/>
        </w:rPr>
        <w:t xml:space="preserve"> cutanée sclérodermiforme</w:t>
      </w:r>
      <w:r w:rsidR="00F12FC2">
        <w:rPr>
          <w:rFonts w:asciiTheme="minorHAnsi" w:hAnsiTheme="minorHAnsi"/>
          <w:szCs w:val="24"/>
        </w:rPr>
        <w:t>,</w:t>
      </w:r>
      <w:r w:rsidR="00BA11AE">
        <w:rPr>
          <w:rFonts w:asciiTheme="minorHAnsi" w:hAnsiTheme="minorHAnsi"/>
          <w:szCs w:val="24"/>
        </w:rPr>
        <w:t xml:space="preserve"> et </w:t>
      </w:r>
      <w:r w:rsidR="005E0479">
        <w:rPr>
          <w:rFonts w:asciiTheme="minorHAnsi" w:hAnsiTheme="minorHAnsi"/>
          <w:szCs w:val="24"/>
        </w:rPr>
        <w:t>parfois</w:t>
      </w:r>
      <w:r w:rsidR="00F12FC2">
        <w:rPr>
          <w:rFonts w:asciiTheme="minorHAnsi" w:hAnsiTheme="minorHAnsi"/>
          <w:szCs w:val="24"/>
        </w:rPr>
        <w:t>,</w:t>
      </w:r>
      <w:r w:rsidR="005E0479">
        <w:rPr>
          <w:rFonts w:asciiTheme="minorHAnsi" w:hAnsiTheme="minorHAnsi"/>
          <w:szCs w:val="24"/>
        </w:rPr>
        <w:t xml:space="preserve"> de redresser un</w:t>
      </w:r>
      <w:r w:rsidRPr="00BA11AE">
        <w:rPr>
          <w:rFonts w:asciiTheme="minorHAnsi" w:hAnsiTheme="minorHAnsi"/>
          <w:szCs w:val="24"/>
        </w:rPr>
        <w:t xml:space="preserve"> diagnostic</w:t>
      </w:r>
      <w:r w:rsidR="00F12FC2">
        <w:rPr>
          <w:rFonts w:asciiTheme="minorHAnsi" w:hAnsiTheme="minorHAnsi"/>
          <w:szCs w:val="24"/>
        </w:rPr>
        <w:t xml:space="preserve"> erroné</w:t>
      </w:r>
      <w:r w:rsidRPr="00BA11AE">
        <w:rPr>
          <w:rFonts w:asciiTheme="minorHAnsi" w:hAnsiTheme="minorHAnsi"/>
          <w:szCs w:val="24"/>
        </w:rPr>
        <w:t>.</w:t>
      </w:r>
      <w:r w:rsidR="005E0479">
        <w:rPr>
          <w:rFonts w:asciiTheme="minorHAnsi" w:hAnsiTheme="minorHAnsi"/>
          <w:szCs w:val="24"/>
        </w:rPr>
        <w:t xml:space="preserve"> </w:t>
      </w:r>
      <w:r w:rsidRPr="00BA11AE">
        <w:rPr>
          <w:rFonts w:asciiTheme="minorHAnsi" w:hAnsiTheme="minorHAnsi"/>
          <w:szCs w:val="24"/>
        </w:rPr>
        <w:t xml:space="preserve">Concernant le myxœdème, le traitement </w:t>
      </w:r>
      <w:r w:rsidR="00F12FC2">
        <w:rPr>
          <w:rFonts w:asciiTheme="minorHAnsi" w:hAnsiTheme="minorHAnsi"/>
          <w:szCs w:val="24"/>
        </w:rPr>
        <w:t xml:space="preserve">hormonal </w:t>
      </w:r>
      <w:r w:rsidRPr="00BA11AE">
        <w:rPr>
          <w:rFonts w:asciiTheme="minorHAnsi" w:hAnsiTheme="minorHAnsi"/>
          <w:szCs w:val="24"/>
        </w:rPr>
        <w:t>substitutif corrige</w:t>
      </w:r>
      <w:r w:rsidR="00294A23">
        <w:rPr>
          <w:rFonts w:asciiTheme="minorHAnsi" w:hAnsiTheme="minorHAnsi"/>
          <w:szCs w:val="24"/>
        </w:rPr>
        <w:t xml:space="preserve"> rapidement</w:t>
      </w:r>
      <w:r w:rsidRPr="00BA11AE">
        <w:rPr>
          <w:rFonts w:asciiTheme="minorHAnsi" w:hAnsiTheme="minorHAnsi"/>
          <w:szCs w:val="24"/>
        </w:rPr>
        <w:t xml:space="preserve">, comme dans notre cas, les signes cutanés. </w:t>
      </w:r>
      <w:r w:rsidRPr="008F0A89">
        <w:t>L’association de plusieurs pathologie</w:t>
      </w:r>
      <w:r w:rsidR="00C67319">
        <w:t>s</w:t>
      </w:r>
      <w:r w:rsidRPr="008F0A89">
        <w:t xml:space="preserve"> auto-immune</w:t>
      </w:r>
      <w:r w:rsidR="00C67319">
        <w:t xml:space="preserve"> (AI)</w:t>
      </w:r>
      <w:r w:rsidRPr="008F0A89">
        <w:t xml:space="preserve"> chez un même patient n’est pas rare. Ici, il s’agit de l’association de 4 pathologies </w:t>
      </w:r>
      <w:r w:rsidR="00C67319">
        <w:t>AI</w:t>
      </w:r>
      <w:r w:rsidRPr="008F0A89">
        <w:t xml:space="preserve"> (maladie cœliaque, diabète, thyroïdite, uvéite)</w:t>
      </w:r>
      <w:r>
        <w:t>, mais</w:t>
      </w:r>
      <w:r w:rsidRPr="008F0A89">
        <w:t xml:space="preserve"> avec AC négatifs. Lors du diagnostic de diabète de type 1, 96% des enfants ont au moins un AC positif mais </w:t>
      </w:r>
      <w:r>
        <w:t>c</w:t>
      </w:r>
      <w:r w:rsidRPr="008F0A89">
        <w:t xml:space="preserve">es </w:t>
      </w:r>
      <w:r>
        <w:t>AC</w:t>
      </w:r>
      <w:r w:rsidRPr="008F0A89">
        <w:t xml:space="preserve"> </w:t>
      </w:r>
      <w:r>
        <w:t xml:space="preserve">peuvent </w:t>
      </w:r>
      <w:r w:rsidR="00F12FC2">
        <w:t xml:space="preserve">ensuite </w:t>
      </w:r>
      <w:r w:rsidRPr="008F0A89">
        <w:t>disparai</w:t>
      </w:r>
      <w:r>
        <w:t>tre</w:t>
      </w:r>
      <w:r w:rsidRPr="008F0A89">
        <w:t xml:space="preserve">. De même, dans la maladie cœliaque, les </w:t>
      </w:r>
      <w:r>
        <w:t>AC,</w:t>
      </w:r>
      <w:r w:rsidRPr="008F0A89">
        <w:t xml:space="preserve"> détectés dans 95% des cas</w:t>
      </w:r>
      <w:r>
        <w:t>,</w:t>
      </w:r>
      <w:r w:rsidR="005E0479">
        <w:t xml:space="preserve"> se négativent après</w:t>
      </w:r>
      <w:r w:rsidRPr="008F0A89">
        <w:t xml:space="preserve"> régime sans gluten. La négativité </w:t>
      </w:r>
      <w:r>
        <w:t>des AC</w:t>
      </w:r>
      <w:r w:rsidRPr="008F0A89">
        <w:t xml:space="preserve"> </w:t>
      </w:r>
      <w:r>
        <w:t xml:space="preserve">n’élimine donc pas une </w:t>
      </w:r>
      <w:r w:rsidRPr="008F0A89">
        <w:t>chez cette enfant</w:t>
      </w:r>
      <w:r>
        <w:t xml:space="preserve"> une cause </w:t>
      </w:r>
      <w:r w:rsidR="00820A6C">
        <w:t>AI</w:t>
      </w:r>
      <w:r>
        <w:t>.</w:t>
      </w:r>
      <w:r w:rsidR="00D83B28" w:rsidRPr="00D83B28">
        <w:t xml:space="preserve"> </w:t>
      </w:r>
    </w:p>
    <w:p w:rsidR="00C85839" w:rsidRDefault="00440336" w:rsidP="009D0C12">
      <w:pPr>
        <w:pStyle w:val="NormalWeb"/>
      </w:pPr>
      <w:r w:rsidRPr="008F0A89">
        <w:t>Nous présentons donc un cas exceptionne</w:t>
      </w:r>
      <w:r w:rsidR="005E0479">
        <w:t>l de syndrome sclérodermiforme 2</w:t>
      </w:r>
      <w:r w:rsidR="005E0479" w:rsidRPr="005E0479">
        <w:rPr>
          <w:vertAlign w:val="superscript"/>
        </w:rPr>
        <w:t>daire</w:t>
      </w:r>
      <w:r w:rsidRPr="008F0A89">
        <w:t xml:space="preserve"> à un myxœdème chez une patiente </w:t>
      </w:r>
      <w:r w:rsidR="00EE1E1C">
        <w:t>ayant déjà développé plusieurs</w:t>
      </w:r>
      <w:r w:rsidRPr="008F0A89">
        <w:t xml:space="preserve"> pathologies </w:t>
      </w:r>
      <w:r w:rsidR="005E0479">
        <w:t>AI</w:t>
      </w:r>
      <w:r w:rsidRPr="008F0A89">
        <w:t xml:space="preserve"> avec AC négatifs. Une p</w:t>
      </w:r>
      <w:r w:rsidR="00820A6C">
        <w:t xml:space="preserve">ossible </w:t>
      </w:r>
      <w:r w:rsidRPr="008F0A89">
        <w:t xml:space="preserve">cause génétique sous-jacente </w:t>
      </w:r>
      <w:r w:rsidR="00523EAC">
        <w:t>est discuté</w:t>
      </w:r>
      <w:r w:rsidR="00D719E3">
        <w:t>e</w:t>
      </w:r>
      <w:r w:rsidRPr="008F0A89">
        <w:t xml:space="preserve">. </w:t>
      </w:r>
    </w:p>
    <w:p w:rsidR="00F12FC2" w:rsidRDefault="00F12FC2" w:rsidP="009D0C12">
      <w:pPr>
        <w:pStyle w:val="NormalWeb"/>
      </w:pPr>
      <w:r>
        <w:t>2 925 caractères</w:t>
      </w:r>
    </w:p>
    <w:p w:rsidR="006A74AD" w:rsidRDefault="006A74AD" w:rsidP="009D0C12">
      <w:pPr>
        <w:pStyle w:val="NormalWeb"/>
      </w:pPr>
    </w:p>
    <w:p w:rsidR="006A74AD" w:rsidRDefault="006A74AD" w:rsidP="009D0C12">
      <w:pPr>
        <w:pStyle w:val="NormalWeb"/>
      </w:pPr>
    </w:p>
    <w:p w:rsidR="006A74AD" w:rsidRDefault="006A74AD" w:rsidP="009D0C12">
      <w:pPr>
        <w:pStyle w:val="NormalWeb"/>
      </w:pPr>
    </w:p>
    <w:p w:rsidR="006A74AD" w:rsidRDefault="006A74AD" w:rsidP="009D0C12">
      <w:pPr>
        <w:pStyle w:val="NormalWeb"/>
      </w:pPr>
    </w:p>
    <w:p w:rsidR="00901AA4" w:rsidRDefault="00901AA4" w:rsidP="009D0C12">
      <w:pPr>
        <w:pStyle w:val="NormalWeb"/>
      </w:pPr>
    </w:p>
    <w:p w:rsidR="00901AA4" w:rsidRDefault="00901AA4" w:rsidP="009D0C12">
      <w:pPr>
        <w:pStyle w:val="NormalWeb"/>
      </w:pPr>
    </w:p>
    <w:p w:rsidR="00901AA4" w:rsidRDefault="00901AA4" w:rsidP="009D0C12">
      <w:pPr>
        <w:pStyle w:val="NormalWeb"/>
      </w:pPr>
      <w:bookmarkStart w:id="0" w:name="_GoBack"/>
      <w:bookmarkEnd w:id="0"/>
    </w:p>
    <w:p w:rsidR="006A74AD" w:rsidRDefault="006A74AD" w:rsidP="009D0C12">
      <w:pPr>
        <w:pStyle w:val="NormalWeb"/>
      </w:pPr>
    </w:p>
    <w:p w:rsidR="006A74AD" w:rsidRDefault="00901AA4" w:rsidP="009D0C12">
      <w:pPr>
        <w:pStyle w:val="NormalWeb"/>
      </w:pPr>
      <w:r>
        <w:t>Photo 1</w:t>
      </w:r>
    </w:p>
    <w:p w:rsidR="006A74AD" w:rsidRDefault="00901AA4" w:rsidP="009D0C12">
      <w:pPr>
        <w:pStyle w:val="NormalWeb"/>
      </w:pPr>
      <w:r w:rsidRPr="00901AA4">
        <w:rPr>
          <w:noProof/>
        </w:rPr>
        <w:drawing>
          <wp:inline distT="0" distB="0" distL="0" distR="0">
            <wp:extent cx="3448578" cy="2586243"/>
            <wp:effectExtent l="0" t="635" r="5715" b="5715"/>
            <wp:docPr id="2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ce réservé du contenu 4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4377" cy="259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AD" w:rsidRDefault="006A74AD" w:rsidP="009D0C12">
      <w:pPr>
        <w:pStyle w:val="NormalWeb"/>
      </w:pPr>
    </w:p>
    <w:p w:rsidR="006A74AD" w:rsidRDefault="006A74AD" w:rsidP="009D0C12">
      <w:pPr>
        <w:pStyle w:val="NormalWeb"/>
      </w:pPr>
    </w:p>
    <w:sectPr w:rsidR="006A74AD" w:rsidSect="008A3AF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hyphenationZone w:val="425"/>
  <w:characterSpacingControl w:val="doNotCompress"/>
  <w:savePreviewPicture/>
  <w:compat/>
  <w:rsids>
    <w:rsidRoot w:val="00440336"/>
    <w:rsid w:val="000B7E0D"/>
    <w:rsid w:val="00191087"/>
    <w:rsid w:val="001C44DF"/>
    <w:rsid w:val="001E4D03"/>
    <w:rsid w:val="00294A23"/>
    <w:rsid w:val="003D3A78"/>
    <w:rsid w:val="004030FA"/>
    <w:rsid w:val="00440336"/>
    <w:rsid w:val="00446DBD"/>
    <w:rsid w:val="004C5D18"/>
    <w:rsid w:val="00523EAC"/>
    <w:rsid w:val="005A3EF7"/>
    <w:rsid w:val="005E0479"/>
    <w:rsid w:val="005F4D5D"/>
    <w:rsid w:val="006A74AD"/>
    <w:rsid w:val="006F18B2"/>
    <w:rsid w:val="00764357"/>
    <w:rsid w:val="00781072"/>
    <w:rsid w:val="007D2DE2"/>
    <w:rsid w:val="00820A6C"/>
    <w:rsid w:val="0083525A"/>
    <w:rsid w:val="00891C19"/>
    <w:rsid w:val="008A3AF9"/>
    <w:rsid w:val="00901AA4"/>
    <w:rsid w:val="0098241E"/>
    <w:rsid w:val="009D0C12"/>
    <w:rsid w:val="00BA11AE"/>
    <w:rsid w:val="00C1736C"/>
    <w:rsid w:val="00C67319"/>
    <w:rsid w:val="00C85839"/>
    <w:rsid w:val="00D15635"/>
    <w:rsid w:val="00D242EA"/>
    <w:rsid w:val="00D719E3"/>
    <w:rsid w:val="00D83B28"/>
    <w:rsid w:val="00DD367D"/>
    <w:rsid w:val="00E14B55"/>
    <w:rsid w:val="00E71A50"/>
    <w:rsid w:val="00EE1E1C"/>
    <w:rsid w:val="00F053B0"/>
    <w:rsid w:val="00F12FC2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336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NormalWeb">
    <w:name w:val="Normal (Web)"/>
    <w:basedOn w:val="Normal"/>
    <w:uiPriority w:val="99"/>
    <w:unhideWhenUsed/>
    <w:rsid w:val="00BA11AE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6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2858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sarles</dc:creator>
  <cp:keywords/>
  <dc:description/>
  <cp:lastModifiedBy>Isabelle ADO</cp:lastModifiedBy>
  <cp:revision>2</cp:revision>
  <dcterms:created xsi:type="dcterms:W3CDTF">2017-10-23T06:13:00Z</dcterms:created>
  <dcterms:modified xsi:type="dcterms:W3CDTF">2017-10-23T06:13:00Z</dcterms:modified>
</cp:coreProperties>
</file>